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rPr>
        <w:t>2020年</w:t>
      </w:r>
      <w:r>
        <w:rPr>
          <w:rFonts w:hint="eastAsia" w:ascii="方正小标宋简体" w:hAnsi="方正小标宋简体" w:eastAsia="方正小标宋简体" w:cs="方正小标宋简体"/>
          <w:sz w:val="44"/>
          <w:szCs w:val="44"/>
          <w:lang w:eastAsia="zh-CN"/>
        </w:rPr>
        <w:t>定州市住房和城乡建设局</w:t>
      </w: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部门预算公开有关事项的说明</w:t>
      </w:r>
    </w:p>
    <w:p>
      <w:pPr>
        <w:keepNext w:val="0"/>
        <w:keepLines w:val="0"/>
        <w:pageBreakBefore w:val="0"/>
        <w:widowControl/>
        <w:kinsoku/>
        <w:wordWrap/>
        <w:overflowPunct/>
        <w:topLinePunct w:val="0"/>
        <w:autoSpaceDE/>
        <w:autoSpaceDN/>
        <w:bidi w:val="0"/>
        <w:spacing w:line="560" w:lineRule="exact"/>
        <w:jc w:val="center"/>
        <w:textAlignment w:val="auto"/>
        <w:rPr>
          <w:rFonts w:ascii="仿宋_GB2312" w:hAnsi="宋体" w:eastAsia="仿宋_GB2312" w:cs="宋体"/>
          <w:kern w:val="0"/>
          <w:sz w:val="44"/>
          <w:szCs w:val="44"/>
        </w:rPr>
      </w:pP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ascii="宋体" w:hAnsi="宋体" w:cs="宋体"/>
          <w:kern w:val="0"/>
          <w:sz w:val="24"/>
          <w:szCs w:val="24"/>
        </w:rPr>
      </w:pPr>
      <w:r>
        <w:rPr>
          <w:rFonts w:hint="eastAsia" w:ascii="黑体" w:hAnsi="黑体" w:eastAsia="黑体" w:cs="宋体"/>
          <w:kern w:val="0"/>
          <w:sz w:val="32"/>
          <w:szCs w:val="32"/>
        </w:rPr>
        <w:t>一、部门职责、机构设置等基本情况</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宋体" w:eastAsia="仿宋_GB2312" w:cs="宋体"/>
          <w:kern w:val="0"/>
          <w:sz w:val="32"/>
          <w:szCs w:val="32"/>
        </w:rPr>
      </w:pPr>
      <w:r>
        <w:rPr>
          <w:rFonts w:hint="eastAsia" w:ascii="仿宋_GB2312" w:hAnsi="Times New Roman" w:eastAsia="仿宋_GB2312"/>
          <w:kern w:val="0"/>
          <w:sz w:val="32"/>
          <w:szCs w:val="32"/>
        </w:rPr>
        <w:t>1</w:t>
      </w:r>
      <w:r>
        <w:rPr>
          <w:rFonts w:hint="eastAsia" w:ascii="仿宋_GB2312" w:hAnsi="宋体" w:eastAsia="仿宋_GB2312" w:cs="宋体"/>
          <w:kern w:val="0"/>
          <w:sz w:val="32"/>
          <w:szCs w:val="32"/>
        </w:rPr>
        <w:t>、部门职责</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（一）贯彻执行国家</w:t>
      </w:r>
      <w:r>
        <w:rPr>
          <w:rFonts w:hint="eastAsia" w:ascii="仿宋_GB2312" w:hAnsi="Times New Roman" w:eastAsia="仿宋_GB2312"/>
          <w:kern w:val="0"/>
          <w:sz w:val="32"/>
          <w:szCs w:val="32"/>
          <w:lang w:eastAsia="zh-CN"/>
        </w:rPr>
        <w:t>、省</w:t>
      </w:r>
      <w:r>
        <w:rPr>
          <w:rFonts w:hint="eastAsia" w:ascii="仿宋_GB2312" w:hAnsi="Times New Roman" w:eastAsia="仿宋_GB2312"/>
          <w:kern w:val="0"/>
          <w:sz w:val="32"/>
          <w:szCs w:val="32"/>
        </w:rPr>
        <w:t>住房城乡建设的方针、政策和法律、法规。拟订住房城乡建设方面的政府规章草案；拟订全</w:t>
      </w:r>
      <w:r>
        <w:rPr>
          <w:rFonts w:hint="eastAsia" w:ascii="仿宋_GB2312" w:hAnsi="Times New Roman" w:eastAsia="仿宋_GB2312"/>
          <w:kern w:val="0"/>
          <w:sz w:val="32"/>
          <w:szCs w:val="32"/>
          <w:lang w:eastAsia="zh-CN"/>
        </w:rPr>
        <w:t>市</w:t>
      </w:r>
      <w:r>
        <w:rPr>
          <w:rFonts w:hint="eastAsia" w:ascii="仿宋_GB2312" w:hAnsi="Times New Roman" w:eastAsia="仿宋_GB2312"/>
          <w:kern w:val="0"/>
          <w:sz w:val="32"/>
          <w:szCs w:val="32"/>
        </w:rPr>
        <w:t>住房城乡建设行业发展规划并组织实施；研究提出住房城乡建设重大问题的政策建议</w:t>
      </w:r>
      <w:r>
        <w:rPr>
          <w:rFonts w:hint="eastAsia" w:ascii="仿宋_GB2312" w:hAnsi="Times New Roman" w:eastAsia="仿宋_GB2312"/>
          <w:kern w:val="0"/>
          <w:sz w:val="32"/>
          <w:szCs w:val="32"/>
          <w:lang w:eastAsia="zh-CN"/>
        </w:rPr>
        <w:t>；负责住房和建筑行业安全生产监管</w:t>
      </w:r>
      <w:r>
        <w:rPr>
          <w:rFonts w:hint="eastAsia" w:ascii="仿宋_GB2312" w:hAnsi="Times New Roman" w:eastAsia="仿宋_GB2312"/>
          <w:kern w:val="0"/>
          <w:sz w:val="32"/>
          <w:szCs w:val="32"/>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（二）负责城镇低收入家庭住房保障。拟订城镇住房保障相关政策并指导实施；会同有关部门做好中央</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省</w:t>
      </w:r>
      <w:r>
        <w:rPr>
          <w:rFonts w:hint="eastAsia" w:ascii="仿宋_GB2312" w:hAnsi="Times New Roman" w:eastAsia="仿宋_GB2312"/>
          <w:kern w:val="0"/>
          <w:sz w:val="32"/>
          <w:szCs w:val="32"/>
          <w:lang w:eastAsia="zh-CN"/>
        </w:rPr>
        <w:t>和市</w:t>
      </w:r>
      <w:r>
        <w:rPr>
          <w:rFonts w:hint="eastAsia" w:ascii="仿宋_GB2312" w:hAnsi="Times New Roman" w:eastAsia="仿宋_GB2312"/>
          <w:kern w:val="0"/>
          <w:sz w:val="32"/>
          <w:szCs w:val="32"/>
        </w:rPr>
        <w:t>城镇保障性安居工程资金安排并监督实施；组织编制、实施城镇住房保障发展规划和年度计划。</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（三）负责推进住房制度改革。拟订适合</w:t>
      </w:r>
      <w:r>
        <w:rPr>
          <w:rFonts w:hint="eastAsia" w:ascii="仿宋_GB2312" w:hAnsi="Times New Roman" w:eastAsia="仿宋_GB2312"/>
          <w:kern w:val="0"/>
          <w:sz w:val="32"/>
          <w:szCs w:val="32"/>
          <w:lang w:eastAsia="zh-CN"/>
        </w:rPr>
        <w:t>市</w:t>
      </w:r>
      <w:r>
        <w:rPr>
          <w:rFonts w:hint="eastAsia" w:ascii="仿宋_GB2312" w:hAnsi="Times New Roman" w:eastAsia="仿宋_GB2312"/>
          <w:kern w:val="0"/>
          <w:sz w:val="32"/>
          <w:szCs w:val="32"/>
        </w:rPr>
        <w:t>情的住房政策，指导住房建设，推动住房制度改革；拟订住房建设发展规划并组织实施。</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四）负责推行工程建设标准。组织实施工程建设实施阶段的国家标准及全国统一的行业标准；指导工程建设标准和工程量计量规则的实施；收集、发布工程材料、人工、机械设备使用等市场价格信息。</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rPr>
        <w:t>（五）负责房地产市场的监督管理。会同有关部门拟订房地产市场调控政策并监督执行；拟订房地产业的行业发展规划、产业政策</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拟订房地产开发</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房屋交易、房屋租赁、房地产估价与经纪管理</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物业管理的规章制度并监督实施</w:t>
      </w:r>
      <w:r>
        <w:rPr>
          <w:rFonts w:hint="eastAsia" w:ascii="仿宋_GB2312" w:hAnsi="Times New Roman" w:eastAsia="仿宋_GB2312"/>
          <w:kern w:val="0"/>
          <w:sz w:val="32"/>
          <w:szCs w:val="32"/>
          <w:lang w:eastAsia="zh-CN"/>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六）负责建筑市场的监督管理。负责国家规定必须招标的房屋建筑和市政基础设施工程招标投标活动的监督工作；拟订勘察设计、施工、建设监理的政府规章草案；拟订工程建设、建筑业、勘察设计的行业发展战略、中长期发展规划、改革方案、产业政策、规章制度并监督执行；制定规范建筑市场各方主体行为的规章制度并监督执行；组织协调建筑企业参与国际工程承包、建筑劳务合作</w:t>
      </w:r>
      <w:r>
        <w:rPr>
          <w:rFonts w:hint="eastAsia" w:ascii="仿宋_GB2312" w:hAnsi="Times New Roman" w:eastAsia="仿宋_GB2312"/>
          <w:kern w:val="0"/>
          <w:sz w:val="32"/>
          <w:szCs w:val="32"/>
          <w:lang w:eastAsia="zh-CN"/>
        </w:rPr>
        <w:t>；指导建设工程规划许可工作</w:t>
      </w:r>
      <w:r>
        <w:rPr>
          <w:rFonts w:hint="eastAsia" w:ascii="仿宋_GB2312" w:hAnsi="Times New Roman" w:eastAsia="仿宋_GB2312"/>
          <w:kern w:val="0"/>
          <w:sz w:val="32"/>
          <w:szCs w:val="32"/>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（七</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指导</w:t>
      </w:r>
      <w:r>
        <w:rPr>
          <w:rFonts w:hint="eastAsia" w:ascii="仿宋_GB2312" w:hAnsi="Times New Roman" w:eastAsia="仿宋_GB2312"/>
          <w:kern w:val="0"/>
          <w:sz w:val="32"/>
          <w:szCs w:val="32"/>
          <w:lang w:eastAsia="zh-CN"/>
        </w:rPr>
        <w:t>城乡</w:t>
      </w:r>
      <w:r>
        <w:rPr>
          <w:rFonts w:hint="eastAsia" w:ascii="仿宋_GB2312" w:hAnsi="Times New Roman" w:eastAsia="仿宋_GB2312"/>
          <w:kern w:val="0"/>
          <w:sz w:val="32"/>
          <w:szCs w:val="32"/>
        </w:rPr>
        <w:t>建设工作。</w:t>
      </w:r>
      <w:r>
        <w:rPr>
          <w:rFonts w:hint="eastAsia" w:ascii="仿宋_GB2312" w:hAnsi="Times New Roman" w:eastAsia="仿宋_GB2312"/>
          <w:kern w:val="0"/>
          <w:sz w:val="32"/>
          <w:szCs w:val="32"/>
          <w:lang w:eastAsia="zh-CN"/>
        </w:rPr>
        <w:t>负责全市城乡建设重点项目的谋划、统筹协调、管理工作；</w:t>
      </w:r>
      <w:r>
        <w:rPr>
          <w:rFonts w:hint="eastAsia" w:ascii="仿宋_GB2312" w:hAnsi="Times New Roman" w:eastAsia="仿宋_GB2312"/>
          <w:kern w:val="0"/>
          <w:sz w:val="32"/>
          <w:szCs w:val="32"/>
        </w:rPr>
        <w:t>拟订</w:t>
      </w:r>
      <w:r>
        <w:rPr>
          <w:rFonts w:hint="eastAsia" w:ascii="仿宋_GB2312" w:hAnsi="Times New Roman" w:eastAsia="仿宋_GB2312"/>
          <w:kern w:val="0"/>
          <w:sz w:val="32"/>
          <w:szCs w:val="32"/>
          <w:lang w:eastAsia="zh-CN"/>
        </w:rPr>
        <w:t>城乡</w:t>
      </w:r>
      <w:r>
        <w:rPr>
          <w:rFonts w:hint="eastAsia" w:ascii="仿宋_GB2312" w:hAnsi="Times New Roman" w:eastAsia="仿宋_GB2312"/>
          <w:kern w:val="0"/>
          <w:sz w:val="32"/>
          <w:szCs w:val="32"/>
        </w:rPr>
        <w:t>建设政策并指导实施；</w:t>
      </w:r>
      <w:r>
        <w:rPr>
          <w:rFonts w:hint="eastAsia" w:ascii="仿宋_GB2312" w:hAnsi="Times New Roman" w:eastAsia="仿宋_GB2312"/>
          <w:kern w:val="0"/>
          <w:sz w:val="32"/>
          <w:szCs w:val="32"/>
          <w:lang w:eastAsia="zh-CN"/>
        </w:rPr>
        <w:t>拟订城市建设行业发展规划并组织实施；指导城市建设行业专业规划的编制、审批和实施；指导城市设计；</w:t>
      </w:r>
      <w:r>
        <w:rPr>
          <w:rFonts w:hint="eastAsia" w:ascii="仿宋_GB2312" w:hAnsi="Times New Roman" w:eastAsia="仿宋_GB2312"/>
          <w:kern w:val="0"/>
          <w:sz w:val="32"/>
          <w:szCs w:val="32"/>
        </w:rPr>
        <w:t>指导村镇建设规划编制和实施；</w:t>
      </w:r>
      <w:r>
        <w:rPr>
          <w:rFonts w:hint="eastAsia" w:ascii="仿宋_GB2312" w:hAnsi="Times New Roman" w:eastAsia="仿宋_GB2312"/>
          <w:kern w:val="0"/>
          <w:sz w:val="32"/>
          <w:szCs w:val="32"/>
          <w:lang w:eastAsia="zh-CN"/>
        </w:rPr>
        <w:t>指导乡村建筑风貌管控；</w:t>
      </w:r>
      <w:r>
        <w:rPr>
          <w:rFonts w:hint="eastAsia" w:ascii="仿宋_GB2312" w:hAnsi="Times New Roman" w:eastAsia="仿宋_GB2312"/>
          <w:kern w:val="0"/>
          <w:sz w:val="32"/>
          <w:szCs w:val="32"/>
        </w:rPr>
        <w:t>指导农村住房建设和安全及危房改造；指导重点镇和特色小城镇建设</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会同有关部门负责历史文化名城(镇、村）的保护和监督管理工作。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w:t>
      </w:r>
      <w:r>
        <w:rPr>
          <w:rFonts w:hint="eastAsia" w:ascii="仿宋_GB2312" w:hAnsi="Times New Roman" w:eastAsia="仿宋_GB2312"/>
          <w:kern w:val="0"/>
          <w:sz w:val="32"/>
          <w:szCs w:val="32"/>
          <w:lang w:eastAsia="zh-CN"/>
        </w:rPr>
        <w:t>八）</w:t>
      </w:r>
      <w:r>
        <w:rPr>
          <w:rFonts w:hint="eastAsia" w:ascii="仿宋_GB2312" w:hAnsi="Times New Roman" w:eastAsia="仿宋_GB2312"/>
          <w:kern w:val="0"/>
          <w:sz w:val="32"/>
          <w:szCs w:val="32"/>
        </w:rPr>
        <w:t>负责建筑工程质量安全监管。</w:t>
      </w:r>
      <w:r>
        <w:rPr>
          <w:rFonts w:hint="eastAsia" w:ascii="仿宋_GB2312" w:hAnsi="Times New Roman" w:eastAsia="仿宋_GB2312"/>
          <w:kern w:val="0"/>
          <w:sz w:val="32"/>
          <w:szCs w:val="32"/>
          <w:lang w:eastAsia="zh-CN"/>
        </w:rPr>
        <w:t>监督执行</w:t>
      </w:r>
      <w:r>
        <w:rPr>
          <w:rFonts w:hint="eastAsia" w:ascii="仿宋_GB2312" w:hAnsi="Times New Roman" w:eastAsia="仿宋_GB2312"/>
          <w:kern w:val="0"/>
          <w:sz w:val="32"/>
          <w:szCs w:val="32"/>
        </w:rPr>
        <w:t>建筑工程质量、施工安全和竣工验收备案的政策、规章制度；组织或参与工程重大质量、安全事故的调查处理；指导实施建筑业、工程勘察设计咨询业的技术政策；指导建设工程消防设计审查工作。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w:t>
      </w:r>
      <w:r>
        <w:rPr>
          <w:rFonts w:hint="eastAsia" w:ascii="仿宋_GB2312" w:hAnsi="Times New Roman" w:eastAsia="仿宋_GB2312"/>
          <w:kern w:val="0"/>
          <w:sz w:val="32"/>
          <w:szCs w:val="32"/>
          <w:lang w:eastAsia="zh-CN"/>
        </w:rPr>
        <w:t>九</w:t>
      </w:r>
      <w:r>
        <w:rPr>
          <w:rFonts w:hint="eastAsia" w:ascii="仿宋_GB2312" w:hAnsi="Times New Roman" w:eastAsia="仿宋_GB2312"/>
          <w:kern w:val="0"/>
          <w:sz w:val="32"/>
          <w:szCs w:val="32"/>
        </w:rPr>
        <w:t>）负责推进建筑节能</w:t>
      </w:r>
      <w:r>
        <w:rPr>
          <w:rFonts w:hint="eastAsia" w:ascii="仿宋_GB2312" w:hAnsi="Times New Roman" w:eastAsia="仿宋_GB2312"/>
          <w:kern w:val="0"/>
          <w:sz w:val="32"/>
          <w:szCs w:val="32"/>
          <w:lang w:eastAsia="zh-CN"/>
        </w:rPr>
        <w:t>减排</w:t>
      </w:r>
      <w:r>
        <w:rPr>
          <w:rFonts w:hint="eastAsia" w:ascii="仿宋_GB2312" w:hAnsi="Times New Roman" w:eastAsia="仿宋_GB2312"/>
          <w:kern w:val="0"/>
          <w:sz w:val="32"/>
          <w:szCs w:val="32"/>
        </w:rPr>
        <w:t>。会同有关部门拟订建筑节能的政策、规划并指导实施；制定住房城乡建设的科技发展规划和政策；组织实施重大建筑节能项目；指导和推动建筑节能</w:t>
      </w:r>
      <w:r>
        <w:rPr>
          <w:rFonts w:hint="eastAsia" w:ascii="仿宋_GB2312" w:hAnsi="Times New Roman" w:eastAsia="仿宋_GB2312"/>
          <w:kern w:val="0"/>
          <w:sz w:val="32"/>
          <w:szCs w:val="32"/>
          <w:lang w:eastAsia="zh-CN"/>
        </w:rPr>
        <w:t>减排</w:t>
      </w:r>
      <w:r>
        <w:rPr>
          <w:rFonts w:hint="eastAsia" w:ascii="仿宋_GB2312" w:hAnsi="Times New Roman" w:eastAsia="仿宋_GB2312"/>
          <w:kern w:val="0"/>
          <w:sz w:val="32"/>
          <w:szCs w:val="32"/>
        </w:rPr>
        <w:t>、绿色建筑</w:t>
      </w:r>
      <w:r>
        <w:rPr>
          <w:rFonts w:hint="eastAsia" w:ascii="仿宋_GB2312" w:hAnsi="Times New Roman" w:eastAsia="仿宋_GB2312"/>
          <w:kern w:val="0"/>
          <w:sz w:val="32"/>
          <w:szCs w:val="32"/>
          <w:lang w:eastAsia="zh-CN"/>
        </w:rPr>
        <w:t>发展和</w:t>
      </w:r>
      <w:r>
        <w:rPr>
          <w:rFonts w:hint="eastAsia" w:ascii="仿宋_GB2312" w:hAnsi="Times New Roman" w:eastAsia="仿宋_GB2312"/>
          <w:kern w:val="0"/>
          <w:sz w:val="32"/>
          <w:szCs w:val="32"/>
        </w:rPr>
        <w:t>住房城乡建设行业信息化。</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w:t>
      </w:r>
      <w:r>
        <w:rPr>
          <w:rFonts w:hint="eastAsia" w:ascii="仿宋_GB2312" w:hAnsi="Times New Roman" w:eastAsia="仿宋_GB2312"/>
          <w:kern w:val="0"/>
          <w:sz w:val="32"/>
          <w:szCs w:val="32"/>
          <w:lang w:eastAsia="zh-CN"/>
        </w:rPr>
        <w:t>参与监督</w:t>
      </w:r>
      <w:r>
        <w:rPr>
          <w:rFonts w:hint="eastAsia" w:ascii="仿宋_GB2312" w:hAnsi="Times New Roman" w:eastAsia="仿宋_GB2312"/>
          <w:kern w:val="0"/>
          <w:sz w:val="32"/>
          <w:szCs w:val="32"/>
        </w:rPr>
        <w:t>查处住房城乡建设领域</w:t>
      </w:r>
      <w:r>
        <w:rPr>
          <w:rFonts w:hint="eastAsia" w:ascii="仿宋_GB2312" w:hAnsi="Times New Roman" w:eastAsia="仿宋_GB2312"/>
          <w:kern w:val="0"/>
          <w:sz w:val="32"/>
          <w:szCs w:val="32"/>
          <w:lang w:eastAsia="zh-CN"/>
        </w:rPr>
        <w:t>违法违规</w:t>
      </w:r>
      <w:r>
        <w:rPr>
          <w:rFonts w:hint="eastAsia" w:ascii="仿宋_GB2312" w:hAnsi="Times New Roman" w:eastAsia="仿宋_GB2312"/>
          <w:kern w:val="0"/>
          <w:sz w:val="32"/>
          <w:szCs w:val="32"/>
        </w:rPr>
        <w:t>案件。</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w:t>
      </w:r>
      <w:r>
        <w:rPr>
          <w:rFonts w:hint="eastAsia" w:ascii="仿宋_GB2312" w:hAnsi="Times New Roman" w:eastAsia="仿宋_GB2312"/>
          <w:kern w:val="0"/>
          <w:sz w:val="32"/>
          <w:szCs w:val="32"/>
          <w:lang w:eastAsia="zh-CN"/>
        </w:rPr>
        <w:t>一</w:t>
      </w:r>
      <w:r>
        <w:rPr>
          <w:rFonts w:hint="eastAsia" w:ascii="仿宋_GB2312" w:hAnsi="Times New Roman" w:eastAsia="仿宋_GB2312"/>
          <w:kern w:val="0"/>
          <w:sz w:val="32"/>
          <w:szCs w:val="32"/>
        </w:rPr>
        <w:t>）开展住房城乡建设方面的对外交流与合作。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w:t>
      </w:r>
      <w:r>
        <w:rPr>
          <w:rFonts w:hint="eastAsia" w:ascii="仿宋_GB2312" w:hAnsi="Times New Roman" w:eastAsia="仿宋_GB2312"/>
          <w:kern w:val="0"/>
          <w:sz w:val="32"/>
          <w:szCs w:val="32"/>
          <w:lang w:eastAsia="zh-CN"/>
        </w:rPr>
        <w:t>二）</w:t>
      </w:r>
      <w:r>
        <w:rPr>
          <w:rFonts w:hint="eastAsia" w:ascii="仿宋_GB2312" w:hAnsi="Times New Roman" w:eastAsia="仿宋_GB2312"/>
          <w:kern w:val="0"/>
          <w:sz w:val="32"/>
          <w:szCs w:val="32"/>
        </w:rPr>
        <w:t>完成</w:t>
      </w:r>
      <w:r>
        <w:rPr>
          <w:rFonts w:hint="eastAsia" w:ascii="仿宋_GB2312" w:hAnsi="Times New Roman" w:eastAsia="仿宋_GB2312"/>
          <w:kern w:val="0"/>
          <w:sz w:val="32"/>
          <w:szCs w:val="32"/>
          <w:lang w:eastAsia="zh-CN"/>
        </w:rPr>
        <w:t>市</w:t>
      </w:r>
      <w:r>
        <w:rPr>
          <w:rFonts w:hint="eastAsia" w:ascii="仿宋_GB2312" w:hAnsi="Times New Roman" w:eastAsia="仿宋_GB2312"/>
          <w:kern w:val="0"/>
          <w:sz w:val="32"/>
          <w:szCs w:val="32"/>
        </w:rPr>
        <w:t>委、</w:t>
      </w:r>
      <w:r>
        <w:rPr>
          <w:rFonts w:hint="eastAsia" w:ascii="仿宋_GB2312" w:hAnsi="Times New Roman" w:eastAsia="仿宋_GB2312"/>
          <w:kern w:val="0"/>
          <w:sz w:val="32"/>
          <w:szCs w:val="32"/>
          <w:lang w:eastAsia="zh-CN"/>
        </w:rPr>
        <w:t>市</w:t>
      </w:r>
      <w:r>
        <w:rPr>
          <w:rFonts w:hint="eastAsia" w:ascii="仿宋_GB2312" w:hAnsi="Times New Roman" w:eastAsia="仿宋_GB2312"/>
          <w:kern w:val="0"/>
          <w:sz w:val="32"/>
          <w:szCs w:val="32"/>
        </w:rPr>
        <w:t>政府交办的其他任务。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lang w:val="en-US" w:eastAsia="zh-CN"/>
        </w:rPr>
        <w:t>2、</w:t>
      </w:r>
      <w:r>
        <w:rPr>
          <w:rFonts w:hint="eastAsia" w:ascii="仿宋_GB2312" w:hAnsi="Times New Roman" w:eastAsia="仿宋_GB2312"/>
          <w:kern w:val="0"/>
          <w:sz w:val="32"/>
          <w:szCs w:val="32"/>
        </w:rPr>
        <w:t>机构设置</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rPr>
      </w:pPr>
      <w:r>
        <w:rPr>
          <w:rFonts w:hint="eastAsia" w:ascii="仿宋_GB2312" w:hAnsi="Times New Roman" w:eastAsia="仿宋_GB2312"/>
          <w:kern w:val="0"/>
          <w:sz w:val="32"/>
          <w:szCs w:val="32"/>
          <w:lang w:eastAsia="zh-CN"/>
        </w:rPr>
        <w:t>市</w:t>
      </w:r>
      <w:r>
        <w:rPr>
          <w:rFonts w:hint="eastAsia" w:ascii="仿宋_GB2312" w:hAnsi="Times New Roman" w:eastAsia="仿宋_GB2312"/>
          <w:kern w:val="0"/>
          <w:sz w:val="32"/>
          <w:szCs w:val="32"/>
        </w:rPr>
        <w:t>住房城乡建设</w:t>
      </w:r>
      <w:r>
        <w:rPr>
          <w:rFonts w:hint="eastAsia" w:ascii="仿宋_GB2312" w:hAnsi="Times New Roman" w:eastAsia="仿宋_GB2312"/>
          <w:kern w:val="0"/>
          <w:sz w:val="32"/>
          <w:szCs w:val="32"/>
          <w:lang w:eastAsia="zh-CN"/>
        </w:rPr>
        <w:t>局</w:t>
      </w:r>
      <w:r>
        <w:rPr>
          <w:rFonts w:hint="eastAsia" w:ascii="仿宋_GB2312" w:hAnsi="Times New Roman" w:eastAsia="仿宋_GB2312"/>
          <w:kern w:val="0"/>
          <w:sz w:val="32"/>
          <w:szCs w:val="32"/>
        </w:rPr>
        <w:t>设下列</w:t>
      </w:r>
      <w:r>
        <w:rPr>
          <w:rFonts w:hint="eastAsia" w:ascii="仿宋_GB2312" w:hAnsi="Times New Roman" w:eastAsia="仿宋_GB2312"/>
          <w:kern w:val="0"/>
          <w:sz w:val="32"/>
          <w:szCs w:val="32"/>
          <w:lang w:eastAsia="zh-CN"/>
        </w:rPr>
        <w:t>股级</w:t>
      </w:r>
      <w:r>
        <w:rPr>
          <w:rFonts w:hint="eastAsia" w:ascii="仿宋_GB2312" w:hAnsi="Times New Roman" w:eastAsia="仿宋_GB2312"/>
          <w:kern w:val="0"/>
          <w:sz w:val="32"/>
          <w:szCs w:val="32"/>
        </w:rPr>
        <w:t>内设机构：</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rPr>
        <w:t>办公室</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住房保障</w:t>
      </w:r>
      <w:r>
        <w:rPr>
          <w:rFonts w:hint="eastAsia" w:ascii="仿宋_GB2312" w:hAnsi="Times New Roman" w:eastAsia="仿宋_GB2312"/>
          <w:kern w:val="0"/>
          <w:sz w:val="32"/>
          <w:szCs w:val="32"/>
          <w:lang w:eastAsia="zh-CN"/>
        </w:rPr>
        <w:t>科、</w:t>
      </w:r>
      <w:r>
        <w:rPr>
          <w:rFonts w:hint="eastAsia" w:ascii="仿宋_GB2312" w:hAnsi="Times New Roman" w:eastAsia="仿宋_GB2312"/>
          <w:kern w:val="0"/>
          <w:sz w:val="32"/>
          <w:szCs w:val="32"/>
        </w:rPr>
        <w:t>房地产市场监管</w:t>
      </w:r>
      <w:r>
        <w:rPr>
          <w:rFonts w:hint="eastAsia" w:ascii="仿宋_GB2312" w:hAnsi="Times New Roman" w:eastAsia="仿宋_GB2312"/>
          <w:kern w:val="0"/>
          <w:sz w:val="32"/>
          <w:szCs w:val="32"/>
          <w:lang w:eastAsia="zh-CN"/>
        </w:rPr>
        <w:t>科、</w:t>
      </w:r>
      <w:r>
        <w:rPr>
          <w:rFonts w:hint="eastAsia" w:ascii="仿宋_GB2312" w:hAnsi="Times New Roman" w:eastAsia="仿宋_GB2312"/>
          <w:kern w:val="0"/>
          <w:sz w:val="32"/>
          <w:szCs w:val="32"/>
        </w:rPr>
        <w:t>建筑市场监管</w:t>
      </w:r>
      <w:r>
        <w:rPr>
          <w:rFonts w:hint="eastAsia" w:ascii="仿宋_GB2312" w:hAnsi="Times New Roman" w:eastAsia="仿宋_GB2312"/>
          <w:kern w:val="0"/>
          <w:sz w:val="32"/>
          <w:szCs w:val="32"/>
          <w:lang w:eastAsia="zh-CN"/>
        </w:rPr>
        <w:t>科、城乡建设科、</w:t>
      </w:r>
      <w:r>
        <w:rPr>
          <w:rFonts w:hint="eastAsia" w:ascii="仿宋_GB2312" w:hAnsi="Times New Roman" w:eastAsia="仿宋_GB2312"/>
          <w:kern w:val="0"/>
          <w:sz w:val="32"/>
          <w:szCs w:val="32"/>
        </w:rPr>
        <w:t>工程质量安全监管</w:t>
      </w:r>
      <w:r>
        <w:rPr>
          <w:rFonts w:hint="eastAsia" w:ascii="仿宋_GB2312" w:hAnsi="Times New Roman" w:eastAsia="仿宋_GB2312"/>
          <w:kern w:val="0"/>
          <w:sz w:val="32"/>
          <w:szCs w:val="32"/>
          <w:lang w:eastAsia="zh-CN"/>
        </w:rPr>
        <w:t>科、</w:t>
      </w:r>
      <w:r>
        <w:rPr>
          <w:rFonts w:hint="eastAsia" w:ascii="仿宋_GB2312" w:hAnsi="Times New Roman" w:eastAsia="仿宋_GB2312"/>
          <w:kern w:val="0"/>
          <w:sz w:val="32"/>
          <w:szCs w:val="32"/>
        </w:rPr>
        <w:t>建筑节能与</w:t>
      </w:r>
      <w:r>
        <w:rPr>
          <w:rFonts w:hint="eastAsia" w:ascii="仿宋_GB2312" w:hAnsi="Times New Roman" w:eastAsia="仿宋_GB2312"/>
          <w:kern w:val="0"/>
          <w:sz w:val="32"/>
          <w:szCs w:val="32"/>
          <w:lang w:eastAsia="zh-CN"/>
        </w:rPr>
        <w:t>科技科</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定州市住房和城乡建设局所属股级事业单位6个：</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全额拨款单位4个：定州市建筑工程施工安全监督站、定州市建筑工程招标投标管理办公室、定州市建筑市场稽查办公室、定州市建筑工程质量监督站。</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经费自理2个：定州市建筑劳务基地服务站、定州市建设工程交易中心。</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default"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机关行政编制18名，2019年年末实有人数26人。事业单位编制69名，2019年末实有人数86人。</w:t>
      </w:r>
    </w:p>
    <w:p>
      <w:pPr>
        <w:keepNext w:val="0"/>
        <w:keepLines w:val="0"/>
        <w:pageBreakBefore w:val="0"/>
        <w:widowControl/>
        <w:numPr>
          <w:ilvl w:val="0"/>
          <w:numId w:val="0"/>
        </w:numPr>
        <w:shd w:val="clear" w:color="auto" w:fill="FFFFFF"/>
        <w:kinsoku/>
        <w:wordWrap/>
        <w:overflowPunct/>
        <w:topLinePunct w:val="0"/>
        <w:autoSpaceDE/>
        <w:autoSpaceDN/>
        <w:bidi w:val="0"/>
        <w:spacing w:line="560" w:lineRule="exact"/>
        <w:jc w:val="left"/>
        <w:textAlignment w:val="auto"/>
        <w:rPr>
          <w:rFonts w:ascii="宋体" w:hAnsi="宋体" w:cs="宋体"/>
          <w:kern w:val="0"/>
          <w:sz w:val="24"/>
          <w:szCs w:val="24"/>
        </w:rPr>
      </w:pPr>
      <w:r>
        <w:rPr>
          <w:rFonts w:hint="eastAsia" w:ascii="黑体" w:hAnsi="黑体" w:eastAsia="黑体" w:cs="宋体"/>
          <w:kern w:val="0"/>
          <w:sz w:val="32"/>
          <w:szCs w:val="32"/>
        </w:rPr>
        <w:t>二、部门预算安排总体情况</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1、部门预算总体收入7411.98万元，其中财政拨款收入7411.98万元（一般公共预算收入4511.98万元、政府性基金收入2900万元、国有资本经营预算安排收入0万元）、上级补助收入0万元、事业收入0万元、经营收入0万元、附属单位上缴收入0万元、其他收入0万元。</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收入总额同比去年减少12610.66万元，其中财政拨款收入中一般公共预算财政拨款同比增加1171.34万元、政府性基金预算财政拨款同比减少13782万元。</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部门安排支出7411.98万元，其中基本支出1133.49万元、项目支出6278.49万元、上缴上级支出0万元、经营支出0万元、对附属单位补助支出0万元。</w:t>
      </w:r>
    </w:p>
    <w:p>
      <w:pPr>
        <w:keepNext w:val="0"/>
        <w:keepLines w:val="0"/>
        <w:pageBreakBefore w:val="0"/>
        <w:widowControl/>
        <w:numPr>
          <w:ilvl w:val="0"/>
          <w:numId w:val="0"/>
        </w:numPr>
        <w:shd w:val="clear" w:color="auto" w:fill="FFFFFF"/>
        <w:kinsoku/>
        <w:wordWrap/>
        <w:overflowPunct/>
        <w:topLinePunct w:val="0"/>
        <w:autoSpaceDE/>
        <w:autoSpaceDN/>
        <w:bidi w:val="0"/>
        <w:spacing w:line="560" w:lineRule="exact"/>
        <w:ind w:firstLine="640" w:firstLineChars="200"/>
        <w:jc w:val="left"/>
        <w:textAlignment w:val="auto"/>
        <w:rPr>
          <w:rFonts w:hint="default" w:ascii="仿宋_GB2312" w:hAnsi="Times New Roman" w:eastAsia="仿宋_GB2312"/>
          <w:kern w:val="0"/>
          <w:sz w:val="32"/>
          <w:szCs w:val="32"/>
          <w:lang w:val="en-US" w:eastAsia="zh-CN"/>
        </w:rPr>
      </w:pPr>
      <w:r>
        <w:rPr>
          <w:rFonts w:hint="eastAsia" w:ascii="仿宋_GB2312" w:hAnsi="Times New Roman" w:eastAsia="仿宋_GB2312"/>
          <w:kern w:val="0"/>
          <w:sz w:val="32"/>
          <w:szCs w:val="32"/>
          <w:lang w:val="en-US" w:eastAsia="zh-CN"/>
        </w:rPr>
        <w:t>支出总额同比去年减少12610.64万元，其中基本支出同比减少251.84万元、项目支出同比减少12358.82万元。</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ascii="宋体" w:hAnsi="宋体" w:cs="宋体"/>
          <w:kern w:val="0"/>
          <w:sz w:val="24"/>
          <w:szCs w:val="24"/>
        </w:rPr>
      </w:pPr>
      <w:r>
        <w:rPr>
          <w:rFonts w:hint="eastAsia" w:ascii="黑体" w:hAnsi="黑体" w:eastAsia="黑体" w:cs="宋体"/>
          <w:kern w:val="0"/>
          <w:sz w:val="32"/>
          <w:szCs w:val="32"/>
        </w:rPr>
        <w:t>三、机关运行经费安排情况</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default" w:ascii="仿宋_GB2312" w:hAnsi="Times New Roman" w:eastAsia="仿宋_GB2312"/>
          <w:kern w:val="0"/>
          <w:sz w:val="32"/>
          <w:szCs w:val="32"/>
          <w:lang w:val="en-US" w:eastAsia="zh-CN"/>
        </w:rPr>
      </w:pPr>
      <w:r>
        <w:rPr>
          <w:rFonts w:hint="eastAsia" w:ascii="仿宋_GB2312" w:hAnsi="Times New Roman" w:eastAsia="仿宋_GB2312"/>
          <w:kern w:val="0"/>
          <w:sz w:val="32"/>
          <w:szCs w:val="32"/>
          <w:lang w:eastAsia="zh-CN"/>
        </w:rPr>
        <w:t>我部门机关运行经费</w:t>
      </w:r>
      <w:r>
        <w:rPr>
          <w:rFonts w:hint="eastAsia" w:ascii="仿宋_GB2312" w:hAnsi="Times New Roman" w:eastAsia="仿宋_GB2312"/>
          <w:kern w:val="0"/>
          <w:sz w:val="32"/>
          <w:szCs w:val="32"/>
          <w:lang w:val="en-US" w:eastAsia="zh-CN"/>
        </w:rPr>
        <w:t>67.57万元，其中：办公费13.34万元、印刷费2万元、水费1.66万元、电费5万元、邮电费2.9万元、取暖费8.8万元、差旅费1.66万元、培训费1.5万元、公务接待费2.4万元、工会经费5.62万元、福利费7.69万元、其他交通费用15万元。</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ascii="宋体" w:hAnsi="宋体" w:cs="宋体"/>
          <w:kern w:val="0"/>
          <w:sz w:val="24"/>
          <w:szCs w:val="24"/>
        </w:rPr>
      </w:pPr>
      <w:r>
        <w:rPr>
          <w:rFonts w:hint="eastAsia" w:ascii="黑体" w:hAnsi="黑体" w:eastAsia="黑体" w:cs="宋体"/>
          <w:kern w:val="0"/>
          <w:sz w:val="32"/>
          <w:szCs w:val="32"/>
        </w:rPr>
        <w:t>四、财政拨款“三公”经费预算情况</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val="en-US" w:eastAsia="zh-CN"/>
        </w:rPr>
      </w:pPr>
      <w:r>
        <w:rPr>
          <w:rFonts w:hint="eastAsia" w:ascii="仿宋_GB2312" w:hAnsi="Times New Roman" w:eastAsia="仿宋_GB2312"/>
          <w:kern w:val="0"/>
          <w:sz w:val="32"/>
          <w:szCs w:val="32"/>
          <w:lang w:eastAsia="zh-CN"/>
        </w:rPr>
        <w:t>我部门</w:t>
      </w:r>
      <w:r>
        <w:rPr>
          <w:rFonts w:hint="eastAsia" w:ascii="仿宋_GB2312" w:hAnsi="Times New Roman" w:eastAsia="仿宋_GB2312"/>
          <w:kern w:val="0"/>
          <w:sz w:val="32"/>
          <w:szCs w:val="32"/>
        </w:rPr>
        <w:t>财政拨款“三公”经费预算</w:t>
      </w:r>
      <w:r>
        <w:rPr>
          <w:rFonts w:hint="eastAsia" w:ascii="仿宋_GB2312" w:hAnsi="Times New Roman" w:eastAsia="仿宋_GB2312"/>
          <w:kern w:val="0"/>
          <w:sz w:val="32"/>
          <w:szCs w:val="32"/>
          <w:lang w:val="en-US" w:eastAsia="zh-CN"/>
        </w:rPr>
        <w:t>2.4万元，</w:t>
      </w:r>
      <w:r>
        <w:rPr>
          <w:rFonts w:hint="eastAsia" w:ascii="仿宋_GB2312" w:hAnsi="Times New Roman" w:eastAsia="仿宋_GB2312"/>
          <w:kern w:val="0"/>
          <w:sz w:val="32"/>
          <w:szCs w:val="32"/>
        </w:rPr>
        <w:t>与上年部门预算安排减</w:t>
      </w:r>
      <w:r>
        <w:rPr>
          <w:rFonts w:hint="eastAsia" w:ascii="仿宋_GB2312" w:hAnsi="Times New Roman" w:eastAsia="仿宋_GB2312"/>
          <w:kern w:val="0"/>
          <w:sz w:val="32"/>
          <w:szCs w:val="32"/>
          <w:lang w:eastAsia="zh-CN"/>
        </w:rPr>
        <w:t>少</w:t>
      </w:r>
      <w:r>
        <w:rPr>
          <w:rFonts w:hint="eastAsia" w:ascii="仿宋_GB2312" w:hAnsi="Times New Roman" w:eastAsia="仿宋_GB2312"/>
          <w:kern w:val="0"/>
          <w:sz w:val="32"/>
          <w:szCs w:val="32"/>
          <w:lang w:val="en-US" w:eastAsia="zh-CN"/>
        </w:rPr>
        <w:t>5.1万元</w:t>
      </w:r>
      <w:r>
        <w:rPr>
          <w:rFonts w:hint="eastAsia" w:ascii="仿宋_GB2312" w:hAnsi="Times New Roman" w:eastAsia="仿宋_GB2312"/>
          <w:kern w:val="0"/>
          <w:sz w:val="32"/>
          <w:szCs w:val="32"/>
        </w:rPr>
        <w:t>（一般公共预算</w:t>
      </w:r>
      <w:r>
        <w:rPr>
          <w:rFonts w:hint="eastAsia" w:ascii="仿宋_GB2312" w:hAnsi="Times New Roman" w:eastAsia="仿宋_GB2312"/>
          <w:kern w:val="0"/>
          <w:sz w:val="32"/>
          <w:szCs w:val="32"/>
          <w:lang w:val="en-US" w:eastAsia="zh-CN"/>
        </w:rPr>
        <w:t>2.4万元</w:t>
      </w:r>
      <w:r>
        <w:rPr>
          <w:rFonts w:hint="eastAsia" w:ascii="仿宋_GB2312" w:hAnsi="Times New Roman" w:eastAsia="仿宋_GB2312"/>
          <w:kern w:val="0"/>
          <w:sz w:val="32"/>
          <w:szCs w:val="32"/>
        </w:rPr>
        <w:t>、政府性基金预算</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rPr>
        <w:t>、国有资本经营预算和财政专户核拨资金</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rPr>
        <w:t>）</w:t>
      </w:r>
      <w:r>
        <w:rPr>
          <w:rFonts w:hint="eastAsia" w:ascii="仿宋_GB2312" w:hAnsi="Times New Roman" w:eastAsia="仿宋_GB2312"/>
          <w:kern w:val="0"/>
          <w:sz w:val="32"/>
          <w:szCs w:val="32"/>
          <w:lang w:eastAsia="zh-CN"/>
        </w:rPr>
        <w:t>，其中</w:t>
      </w:r>
      <w:r>
        <w:rPr>
          <w:rFonts w:hint="eastAsia" w:ascii="仿宋_GB2312" w:hAnsi="Times New Roman" w:eastAsia="仿宋_GB2312"/>
          <w:kern w:val="0"/>
          <w:sz w:val="32"/>
          <w:szCs w:val="32"/>
        </w:rPr>
        <w:t>安排的本部门（含所属单位）因公出国（境）费</w:t>
      </w:r>
      <w:r>
        <w:rPr>
          <w:rFonts w:hint="eastAsia" w:ascii="仿宋_GB2312" w:hAnsi="Times New Roman" w:eastAsia="仿宋_GB2312"/>
          <w:kern w:val="0"/>
          <w:sz w:val="32"/>
          <w:szCs w:val="32"/>
          <w:lang w:val="en-US" w:eastAsia="zh-CN"/>
        </w:rPr>
        <w:t>0万元</w:t>
      </w:r>
      <w:r>
        <w:rPr>
          <w:rFonts w:hint="eastAsia" w:ascii="仿宋_GB2312" w:hAnsi="Times New Roman" w:eastAsia="仿宋_GB2312"/>
          <w:kern w:val="0"/>
          <w:sz w:val="32"/>
          <w:szCs w:val="32"/>
        </w:rPr>
        <w:t>、公务用车购置及运行费</w:t>
      </w:r>
      <w:r>
        <w:rPr>
          <w:rFonts w:hint="eastAsia" w:ascii="仿宋_GB2312" w:hAnsi="Times New Roman" w:eastAsia="仿宋_GB2312"/>
          <w:kern w:val="0"/>
          <w:sz w:val="32"/>
          <w:szCs w:val="32"/>
          <w:lang w:val="en-US" w:eastAsia="zh-CN"/>
        </w:rPr>
        <w:t>0万元，比上年部门预算安排减少1.8万元，变化原因：已取消公务用车</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公务接待费</w:t>
      </w:r>
      <w:r>
        <w:rPr>
          <w:rFonts w:hint="eastAsia" w:ascii="仿宋_GB2312" w:hAnsi="Times New Roman" w:eastAsia="仿宋_GB2312"/>
          <w:kern w:val="0"/>
          <w:sz w:val="32"/>
          <w:szCs w:val="32"/>
          <w:lang w:val="en-US" w:eastAsia="zh-CN"/>
        </w:rPr>
        <w:t>2.4万元</w:t>
      </w:r>
      <w:r>
        <w:rPr>
          <w:rFonts w:hint="eastAsia" w:ascii="仿宋_GB2312" w:hAnsi="Times New Roman" w:eastAsia="仿宋_GB2312"/>
          <w:kern w:val="0"/>
          <w:sz w:val="32"/>
          <w:szCs w:val="32"/>
        </w:rPr>
        <w:t>，</w:t>
      </w:r>
      <w:r>
        <w:rPr>
          <w:rFonts w:hint="eastAsia" w:ascii="仿宋_GB2312" w:hAnsi="Times New Roman" w:eastAsia="仿宋_GB2312"/>
          <w:kern w:val="0"/>
          <w:sz w:val="32"/>
          <w:szCs w:val="32"/>
          <w:lang w:eastAsia="zh-CN"/>
        </w:rPr>
        <w:t>比</w:t>
      </w:r>
      <w:r>
        <w:rPr>
          <w:rFonts w:hint="eastAsia" w:ascii="仿宋_GB2312" w:hAnsi="Times New Roman" w:eastAsia="仿宋_GB2312"/>
          <w:kern w:val="0"/>
          <w:sz w:val="32"/>
          <w:szCs w:val="32"/>
        </w:rPr>
        <w:t>上年部门预算安排减</w:t>
      </w:r>
      <w:r>
        <w:rPr>
          <w:rFonts w:hint="eastAsia" w:ascii="仿宋_GB2312" w:hAnsi="Times New Roman" w:eastAsia="仿宋_GB2312"/>
          <w:kern w:val="0"/>
          <w:sz w:val="32"/>
          <w:szCs w:val="32"/>
          <w:lang w:eastAsia="zh-CN"/>
        </w:rPr>
        <w:t>少</w:t>
      </w:r>
      <w:r>
        <w:rPr>
          <w:rFonts w:hint="eastAsia" w:ascii="仿宋_GB2312" w:hAnsi="Times New Roman" w:eastAsia="仿宋_GB2312"/>
          <w:kern w:val="0"/>
          <w:sz w:val="32"/>
          <w:szCs w:val="32"/>
          <w:lang w:val="en-US" w:eastAsia="zh-CN"/>
        </w:rPr>
        <w:t>3.3万元，变化原因：节约办公费用。</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ascii="宋体" w:hAnsi="宋体" w:cs="宋体"/>
          <w:kern w:val="0"/>
          <w:sz w:val="24"/>
          <w:szCs w:val="24"/>
        </w:rPr>
      </w:pPr>
      <w:r>
        <w:rPr>
          <w:rFonts w:hint="eastAsia" w:ascii="黑体" w:hAnsi="黑体" w:eastAsia="黑体" w:cs="宋体"/>
          <w:kern w:val="0"/>
          <w:sz w:val="32"/>
          <w:szCs w:val="32"/>
        </w:rPr>
        <w:t>五、绩效预算信息情况</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一、总体绩效目标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认真贯彻党的十九大和省委九届十次全会精神，高举习近平新时代中国特色社会主义思想伟大旗帜，扎实推进“12239”工程，紧紧抓住历史性窗口期和战略性机遇期，坚持稳中求进工作总基调，牢固树立和落实新发展理念，不忘初心、牢记使命，唱响“奋发图强、实干兴市”主旋律，统筹推进城乡建设、工程质量、安全生产、保障性安居工程、建筑节能、物业管理、房地产建筑市场监管等工作，奋力开创建设经济强市、美丽定州的新局面。</w:t>
      </w:r>
    </w:p>
    <w:p>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分项绩效目标</w:t>
      </w:r>
    </w:p>
    <w:p>
      <w:pPr>
        <w:keepNext w:val="0"/>
        <w:keepLines w:val="0"/>
        <w:pageBreakBefore w:val="0"/>
        <w:widowControl/>
        <w:numPr>
          <w:ilvl w:val="0"/>
          <w:numId w:val="0"/>
        </w:numPr>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1</w:t>
      </w:r>
      <w:r>
        <w:rPr>
          <w:rFonts w:hint="eastAsia" w:ascii="仿宋_GB2312" w:hAnsi="Times New Roman" w:eastAsia="仿宋_GB2312"/>
          <w:kern w:val="0"/>
          <w:sz w:val="32"/>
          <w:szCs w:val="32"/>
          <w:lang w:eastAsia="zh-CN"/>
        </w:rPr>
        <w:t>）推进城乡建设</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统筹协调城乡建设重点项目各项前期手续，加强对城乡建设重点项目的管理，全力推进重点项目落地开工。完成危房改造任务，完成厕所改造任务。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2</w:t>
      </w:r>
      <w:r>
        <w:rPr>
          <w:rFonts w:hint="eastAsia" w:ascii="仿宋_GB2312" w:hAnsi="Times New Roman" w:eastAsia="仿宋_GB2312"/>
          <w:kern w:val="0"/>
          <w:sz w:val="32"/>
          <w:szCs w:val="32"/>
          <w:lang w:eastAsia="zh-CN"/>
        </w:rPr>
        <w:t>）工程质量</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提升工程质量水平。推进精品工程建设，争创省级结构优质工程。完成防雷检测任务。进一步规范和加强我市建设工程消防质量工作，认真做好消防设计审查、消防验收和消防备案抽查每个环节。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3</w:t>
      </w:r>
      <w:r>
        <w:rPr>
          <w:rFonts w:hint="eastAsia" w:ascii="仿宋_GB2312" w:hAnsi="Times New Roman" w:eastAsia="仿宋_GB2312"/>
          <w:kern w:val="0"/>
          <w:sz w:val="32"/>
          <w:szCs w:val="32"/>
          <w:lang w:eastAsia="zh-CN"/>
        </w:rPr>
        <w:t>）安全生产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实施建筑施工安全专项治理行动，持续开展安全生产隐患排查。提升我市建筑施工安全生产水平，维护好我市建筑施工领域安全生产事故死亡“零指标”，确保我市建筑施工安全生产形势稳定。</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4</w:t>
      </w:r>
      <w:r>
        <w:rPr>
          <w:rFonts w:hint="eastAsia" w:ascii="仿宋_GB2312" w:hAnsi="Times New Roman" w:eastAsia="仿宋_GB2312"/>
          <w:kern w:val="0"/>
          <w:sz w:val="32"/>
          <w:szCs w:val="32"/>
          <w:lang w:eastAsia="zh-CN"/>
        </w:rPr>
        <w:t>）保障性安居工程</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完成上级下达保障性住房年度任务目标；提高后期管理水平，继续推进智能化管理，对新移交和已入住保障房安装智能门锁；对保障房和房屋设备进行修缮、更新、改造及督导检查；对公租房轮候对象进行分配。</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5</w:t>
      </w:r>
      <w:r>
        <w:rPr>
          <w:rFonts w:hint="eastAsia" w:ascii="仿宋_GB2312" w:hAnsi="Times New Roman" w:eastAsia="仿宋_GB2312"/>
          <w:kern w:val="0"/>
          <w:sz w:val="32"/>
          <w:szCs w:val="32"/>
          <w:lang w:eastAsia="zh-CN"/>
        </w:rPr>
        <w:t>）建筑节能</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严格执行建筑节能强制性标准，完成省住建厅下达的2020年城镇新建绿色建筑占新建建筑面积目标任务，积极推广装配式建筑和被动式超低能耗绿色建筑发展。认真做好《河北省促进绿色建筑发展条例》贯彻执行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6</w:t>
      </w:r>
      <w:r>
        <w:rPr>
          <w:rFonts w:hint="eastAsia" w:ascii="仿宋_GB2312" w:hAnsi="Times New Roman" w:eastAsia="仿宋_GB2312"/>
          <w:kern w:val="0"/>
          <w:sz w:val="32"/>
          <w:szCs w:val="32"/>
          <w:lang w:eastAsia="zh-CN"/>
        </w:rPr>
        <w:t>）物业管理</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提高全市物业管理水平；规范维修资金收取；积极做好老旧小区改造提升工作。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lang w:val="en-US" w:eastAsia="zh-CN"/>
        </w:rPr>
        <w:t>7</w:t>
      </w:r>
      <w:r>
        <w:rPr>
          <w:rFonts w:hint="eastAsia" w:ascii="仿宋_GB2312" w:hAnsi="Times New Roman" w:eastAsia="仿宋_GB2312"/>
          <w:kern w:val="0"/>
          <w:sz w:val="32"/>
          <w:szCs w:val="32"/>
          <w:lang w:eastAsia="zh-CN"/>
        </w:rPr>
        <w:t>）房地产市场监管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1、加大房地产市场监管力度。加快解决房地产遗留问题，切实维护群众合法权益，维护社会稳定。加强开发企业监管；加大中介机构监管力度。构建“企业自管、行业自律、社会监督、政府监管”的运行机制，促进中介机构公平竞争，规范交易秩序。</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2、加大建筑市场监管力度。利用建筑市场信用体系，规范市场秩序，加强工程现场管理人员和建筑工人培训，引导建筑业持续健康发展。加大农民工权益保护力度。切实保护农民工合法权益。</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3、加大违法违规项目查处力度。对已办理《建设工程规划许可证》未办理《建筑工程施工许可证》的在建项目进行巡查，对未办施工许可手续擅自施工的违法行为移交执法局处罚。</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 xml:space="preserve">六、政府采购预算情况 </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val="en-US" w:eastAsia="zh-CN"/>
        </w:rPr>
        <w:t>2020</w:t>
      </w:r>
      <w:r>
        <w:rPr>
          <w:rFonts w:hint="eastAsia" w:ascii="仿宋_GB2312" w:hAnsi="Times New Roman" w:eastAsia="仿宋_GB2312"/>
          <w:kern w:val="0"/>
          <w:sz w:val="32"/>
          <w:szCs w:val="32"/>
          <w:lang w:eastAsia="zh-CN"/>
        </w:rPr>
        <w:t>年，定州市住房和城乡建设局安排政府采购预算</w:t>
      </w:r>
      <w:r>
        <w:rPr>
          <w:rFonts w:hint="eastAsia" w:ascii="仿宋_GB2312" w:hAnsi="Times New Roman" w:eastAsia="仿宋_GB2312"/>
          <w:kern w:val="0"/>
          <w:sz w:val="32"/>
          <w:szCs w:val="32"/>
          <w:lang w:val="en-US" w:eastAsia="zh-CN"/>
        </w:rPr>
        <w:t>316817.4</w:t>
      </w:r>
      <w:r>
        <w:rPr>
          <w:rFonts w:hint="eastAsia" w:ascii="仿宋_GB2312" w:hAnsi="Times New Roman" w:eastAsia="仿宋_GB2312"/>
          <w:kern w:val="0"/>
          <w:sz w:val="32"/>
          <w:szCs w:val="32"/>
          <w:lang w:eastAsia="zh-CN"/>
        </w:rPr>
        <w:t>万元。具体内容见下表。</w:t>
      </w:r>
    </w:p>
    <w:p>
      <w:pPr>
        <w:keepNext w:val="0"/>
        <w:keepLines w:val="0"/>
        <w:pageBreakBefore w:val="0"/>
        <w:shd w:val="clear"/>
        <w:kinsoku/>
        <w:wordWrap/>
        <w:overflowPunct/>
        <w:topLinePunct w:val="0"/>
        <w:autoSpaceDE/>
        <w:autoSpaceDN/>
        <w:bidi w:val="0"/>
        <w:spacing w:line="560" w:lineRule="exact"/>
        <w:jc w:val="center"/>
        <w:textAlignment w:val="auto"/>
        <w:rPr>
          <w:rFonts w:ascii="方正小标宋_GBK" w:eastAsia="方正小标宋_GBK"/>
          <w:sz w:val="32"/>
          <w:szCs w:val="32"/>
          <w:highlight w:val="none"/>
        </w:rPr>
      </w:pPr>
      <w:r>
        <w:rPr>
          <w:rFonts w:hint="eastAsia" w:ascii="方正小标宋_GBK" w:eastAsia="方正小标宋_GBK"/>
          <w:sz w:val="32"/>
          <w:szCs w:val="32"/>
          <w:highlight w:val="none"/>
        </w:rPr>
        <w:t>部门政府采购预算</w:t>
      </w:r>
    </w:p>
    <w:tbl>
      <w:tblPr>
        <w:tblStyle w:val="5"/>
        <w:tblW w:w="1126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2"/>
        <w:gridCol w:w="887"/>
        <w:gridCol w:w="1003"/>
        <w:gridCol w:w="1009"/>
        <w:gridCol w:w="665"/>
        <w:gridCol w:w="863"/>
        <w:gridCol w:w="735"/>
        <w:gridCol w:w="1004"/>
        <w:gridCol w:w="1146"/>
        <w:gridCol w:w="744"/>
        <w:gridCol w:w="720"/>
        <w:gridCol w:w="550"/>
        <w:gridCol w:w="6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5" w:hRule="atLeast"/>
          <w:tblHeader/>
          <w:jc w:val="center"/>
        </w:trPr>
        <w:tc>
          <w:tcPr>
            <w:tcW w:w="6484" w:type="dxa"/>
            <w:gridSpan w:val="7"/>
            <w:tcBorders>
              <w:top w:val="single" w:color="FFFFFF" w:sz="6" w:space="0"/>
              <w:left w:val="single" w:color="FFFFFF" w:sz="6" w:space="0"/>
              <w:right w:val="single" w:color="FFFFFF" w:sz="6" w:space="0"/>
            </w:tcBorders>
            <w:shd w:val="clear" w:color="auto" w:fill="auto"/>
            <w:vAlign w:val="center"/>
          </w:tcPr>
          <w:p>
            <w:pPr>
              <w:keepNext w:val="0"/>
              <w:keepLines w:val="0"/>
              <w:pageBreakBefore w:val="0"/>
              <w:shd w:val="clear"/>
              <w:kinsoku/>
              <w:wordWrap/>
              <w:overflowPunct/>
              <w:topLinePunct w:val="0"/>
              <w:autoSpaceDE/>
              <w:autoSpaceDN/>
              <w:bidi w:val="0"/>
              <w:spacing w:line="560" w:lineRule="exact"/>
              <w:jc w:val="left"/>
              <w:textAlignment w:val="auto"/>
              <w:rPr>
                <w:rFonts w:hint="eastAsia" w:ascii="方正小标宋_GBK" w:eastAsia="方正仿宋_GBK"/>
                <w:sz w:val="24"/>
                <w:highlight w:val="none"/>
                <w:lang w:eastAsia="zh-CN"/>
              </w:rPr>
            </w:pPr>
            <w:r>
              <w:rPr>
                <w:rFonts w:hint="eastAsia" w:eastAsia="方正仿宋_GBK"/>
                <w:sz w:val="28"/>
                <w:highlight w:val="none"/>
              </w:rPr>
              <w:t>3</w:t>
            </w:r>
            <w:r>
              <w:rPr>
                <w:rFonts w:hint="eastAsia" w:eastAsia="方正仿宋_GBK"/>
                <w:sz w:val="28"/>
                <w:highlight w:val="none"/>
                <w:lang w:val="en-US" w:eastAsia="zh-CN"/>
              </w:rPr>
              <w:t>33</w:t>
            </w:r>
            <w:r>
              <w:rPr>
                <w:rFonts w:hint="eastAsia" w:eastAsia="方正仿宋_GBK"/>
                <w:sz w:val="28"/>
                <w:highlight w:val="none"/>
                <w:lang w:eastAsia="zh-CN"/>
              </w:rPr>
              <w:t>建设</w:t>
            </w:r>
          </w:p>
        </w:tc>
        <w:tc>
          <w:tcPr>
            <w:tcW w:w="4784" w:type="dxa"/>
            <w:gridSpan w:val="6"/>
            <w:tcBorders>
              <w:top w:val="single" w:color="FFFFFF" w:sz="6" w:space="0"/>
              <w:left w:val="single" w:color="FFFFFF" w:sz="6" w:space="0"/>
              <w:right w:val="single" w:color="FFFFFF" w:sz="6" w:space="0"/>
            </w:tcBorders>
            <w:shd w:val="clear" w:color="auto" w:fill="auto"/>
            <w:vAlign w:val="center"/>
          </w:tcPr>
          <w:p>
            <w:pPr>
              <w:keepNext w:val="0"/>
              <w:keepLines w:val="0"/>
              <w:pageBreakBefore w:val="0"/>
              <w:shd w:val="clear"/>
              <w:kinsoku/>
              <w:wordWrap/>
              <w:overflowPunct/>
              <w:topLinePunct w:val="0"/>
              <w:autoSpaceDE/>
              <w:autoSpaceDN/>
              <w:bidi w:val="0"/>
              <w:spacing w:line="560" w:lineRule="exact"/>
              <w:jc w:val="right"/>
              <w:textAlignment w:val="auto"/>
              <w:rPr>
                <w:rFonts w:ascii="方正小标宋_GBK" w:eastAsia="方正小标宋_GBK"/>
                <w:sz w:val="24"/>
                <w:highlight w:val="none"/>
              </w:rPr>
            </w:pPr>
            <w:r>
              <w:rPr>
                <w:rFonts w:hint="eastAsia" w:ascii="方正小标宋_GBK" w:eastAsia="方正小标宋_GBK"/>
                <w:sz w:val="24"/>
                <w:highlight w:val="none"/>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5" w:hRule="atLeast"/>
          <w:tblHeader/>
          <w:jc w:val="center"/>
        </w:trPr>
        <w:tc>
          <w:tcPr>
            <w:tcW w:w="2209" w:type="dxa"/>
            <w:gridSpan w:val="2"/>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政府采购项目来源</w:t>
            </w:r>
          </w:p>
        </w:tc>
        <w:tc>
          <w:tcPr>
            <w:tcW w:w="1003" w:type="dxa"/>
            <w:vMerge w:val="restart"/>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采购物品名称</w:t>
            </w:r>
          </w:p>
        </w:tc>
        <w:tc>
          <w:tcPr>
            <w:tcW w:w="1009" w:type="dxa"/>
            <w:vMerge w:val="restart"/>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政府采购目录序号</w:t>
            </w:r>
          </w:p>
        </w:tc>
        <w:tc>
          <w:tcPr>
            <w:tcW w:w="665" w:type="dxa"/>
            <w:vMerge w:val="restart"/>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计量</w:t>
            </w:r>
            <w:r>
              <w:rPr>
                <w:rFonts w:ascii="方正书宋_GBK" w:eastAsia="方正书宋_GBK"/>
                <w:b/>
              </w:rPr>
              <w:t xml:space="preserve">  单位</w:t>
            </w:r>
          </w:p>
        </w:tc>
        <w:tc>
          <w:tcPr>
            <w:tcW w:w="863" w:type="dxa"/>
            <w:vMerge w:val="restart"/>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数量</w:t>
            </w:r>
          </w:p>
        </w:tc>
        <w:tc>
          <w:tcPr>
            <w:tcW w:w="735" w:type="dxa"/>
            <w:vMerge w:val="restart"/>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单价</w:t>
            </w:r>
          </w:p>
        </w:tc>
        <w:tc>
          <w:tcPr>
            <w:tcW w:w="4784" w:type="dxa"/>
            <w:gridSpan w:val="6"/>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187" w:hRule="atLeast"/>
          <w:tblHeader/>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项目名称</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预算资金</w:t>
            </w:r>
          </w:p>
        </w:tc>
        <w:tc>
          <w:tcPr>
            <w:tcW w:w="1003" w:type="dxa"/>
            <w:vMerge w:val="continue"/>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outlineLvl w:val="1"/>
              <w:rPr>
                <w:rFonts w:eastAsia="方正仿宋_GBK"/>
                <w:sz w:val="28"/>
              </w:rPr>
            </w:pPr>
          </w:p>
        </w:tc>
        <w:tc>
          <w:tcPr>
            <w:tcW w:w="1009" w:type="dxa"/>
            <w:vMerge w:val="continue"/>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outlineLvl w:val="1"/>
              <w:rPr>
                <w:rFonts w:eastAsia="方正仿宋_GBK"/>
                <w:sz w:val="28"/>
              </w:rPr>
            </w:pPr>
          </w:p>
        </w:tc>
        <w:tc>
          <w:tcPr>
            <w:tcW w:w="665" w:type="dxa"/>
            <w:vMerge w:val="continue"/>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outlineLvl w:val="1"/>
              <w:rPr>
                <w:rFonts w:eastAsia="方正仿宋_GBK"/>
                <w:sz w:val="28"/>
              </w:rPr>
            </w:pPr>
          </w:p>
        </w:tc>
        <w:tc>
          <w:tcPr>
            <w:tcW w:w="863" w:type="dxa"/>
            <w:vMerge w:val="continue"/>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outlineLvl w:val="1"/>
              <w:rPr>
                <w:rFonts w:eastAsia="方正仿宋_GBK"/>
                <w:sz w:val="28"/>
              </w:rPr>
            </w:pPr>
          </w:p>
        </w:tc>
        <w:tc>
          <w:tcPr>
            <w:tcW w:w="735" w:type="dxa"/>
            <w:vMerge w:val="continue"/>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outlineLvl w:val="1"/>
              <w:rPr>
                <w:rFonts w:eastAsia="方正仿宋_GBK"/>
                <w:sz w:val="28"/>
              </w:rPr>
            </w:pP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合计</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一般公共预算拨款</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基金预算拨款</w:t>
            </w: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国有资本经营预算拨款</w:t>
            </w: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财政专户核拨</w:t>
            </w: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5"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r>
              <w:rPr>
                <w:rFonts w:hint="eastAsia" w:ascii="方正书宋_GBK" w:eastAsia="方正书宋_GBK"/>
                <w:b/>
              </w:rPr>
              <w:t>合　计</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rPr>
            </w:pP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ascii="方正书宋_GBK" w:eastAsia="方正书宋_GBK"/>
                <w:b/>
              </w:rPr>
            </w:pP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ascii="方正书宋_GBK" w:eastAsia="方正书宋_GBK"/>
                <w:b/>
              </w:rPr>
            </w:pP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ascii="方正书宋_GBK" w:eastAsia="方正书宋_GBK"/>
                <w:b/>
              </w:rPr>
            </w:pP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rPr>
            </w:pP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rPr>
            </w:pP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方正书宋_GBK" w:eastAsia="方正书宋_GBK"/>
                <w:b/>
                <w:sz w:val="15"/>
                <w:szCs w:val="15"/>
                <w:lang w:val="en-US" w:eastAsia="zh-CN"/>
              </w:rPr>
            </w:pPr>
            <w:r>
              <w:rPr>
                <w:rFonts w:hint="eastAsia" w:ascii="方正书宋_GBK" w:eastAsia="方正书宋_GBK"/>
                <w:b/>
                <w:sz w:val="15"/>
                <w:szCs w:val="15"/>
                <w:lang w:val="en-US" w:eastAsia="zh-CN"/>
              </w:rPr>
              <w:t>316817.4</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方正书宋_GBK" w:eastAsia="方正书宋_GBK"/>
                <w:b/>
                <w:sz w:val="15"/>
                <w:szCs w:val="15"/>
                <w:lang w:val="en-US" w:eastAsia="zh-CN"/>
              </w:rPr>
            </w:pPr>
            <w:r>
              <w:rPr>
                <w:rFonts w:hint="eastAsia" w:ascii="方正书宋_GBK" w:eastAsia="方正书宋_GBK"/>
                <w:b/>
                <w:sz w:val="15"/>
                <w:szCs w:val="15"/>
                <w:lang w:val="en-US" w:eastAsia="zh-CN"/>
              </w:rPr>
              <w:t>316817.4</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sz w:val="11"/>
                <w:szCs w:val="11"/>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98"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办公消耗用品及类似物品</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A09</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包</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800.00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0.0</w:t>
            </w:r>
            <w:r>
              <w:rPr>
                <w:rFonts w:hint="eastAsia" w:ascii="仿宋_GB2312" w:hAnsi="仿宋_GB2312" w:eastAsia="仿宋_GB2312" w:cs="仿宋_GB2312"/>
                <w:sz w:val="21"/>
                <w:szCs w:val="21"/>
                <w:lang w:val="en-US" w:eastAsia="zh-CN"/>
              </w:rPr>
              <w:t>04</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3.25</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3.25</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0"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办公消耗用品及类似物品</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A0902</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个</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100.00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0.0125</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1.25</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1.25</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p>
            <w:pPr>
              <w:keepNext w:val="0"/>
              <w:keepLines w:val="0"/>
              <w:pageBreakBefore w:val="0"/>
              <w:kinsoku/>
              <w:wordWrap/>
              <w:overflowPunct/>
              <w:topLinePunct w:val="0"/>
              <w:autoSpaceDE/>
              <w:autoSpaceDN/>
              <w:bidi w:val="0"/>
              <w:spacing w:line="560" w:lineRule="exact"/>
              <w:jc w:val="both"/>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77"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70</w:t>
            </w:r>
            <w:r>
              <w:rPr>
                <w:rFonts w:hint="eastAsia" w:ascii="仿宋_GB2312" w:hAnsi="仿宋_GB2312" w:eastAsia="仿宋_GB2312" w:cs="仿宋_GB2312"/>
                <w:sz w:val="21"/>
                <w:szCs w:val="21"/>
              </w:rPr>
              <w:t>.00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计算机设备</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A020101</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台</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18.00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0.5</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9.00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9.00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472"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打印设备</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A02010601</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台</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0.20</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rPr>
              <w:t>.00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rPr>
              <w:t>.00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77"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电气设备</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A020618</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台</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0.4</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2.40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2.40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_GB2312" w:eastAsia="仿宋_GB2312" w:cs="仿宋_GB2312"/>
                <w:sz w:val="21"/>
                <w:szCs w:val="21"/>
                <w:lang w:val="en-US" w:eastAsia="zh-CN"/>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77"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办公家具</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A06</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组</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68.00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0.085</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5.80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5.80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_GB2312" w:eastAsia="仿宋_GB2312" w:cs="仿宋_GB2312"/>
                <w:sz w:val="21"/>
                <w:szCs w:val="21"/>
                <w:lang w:val="en-US" w:eastAsia="zh-CN"/>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77"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城建管理专项业务费</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办公设备</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A02</w:t>
            </w: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台</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0.01</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0.10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0.10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_GB2312" w:eastAsia="仿宋_GB2312" w:cs="仿宋_GB2312"/>
                <w:sz w:val="21"/>
                <w:szCs w:val="21"/>
                <w:lang w:val="en-US" w:eastAsia="zh-CN"/>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77"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定州市开元寺塔历史文化街区修建性详细规划及保护整治建设实施导则</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服务</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rPr>
            </w:pP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rPr>
            </w:pP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120.00</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120.00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206"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定州市申报国家历史文化名城咨询工作</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200</w:t>
            </w:r>
            <w:r>
              <w:rPr>
                <w:rFonts w:hint="eastAsia" w:ascii="仿宋_GB2312" w:hAnsi="仿宋_GB2312" w:eastAsia="仿宋_GB2312" w:cs="仿宋_GB2312"/>
                <w:sz w:val="21"/>
                <w:szCs w:val="21"/>
              </w:rPr>
              <w:t>.00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服务</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历史文化名城一座</w:t>
            </w: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200</w:t>
            </w:r>
            <w:r>
              <w:rPr>
                <w:rFonts w:hint="eastAsia" w:ascii="仿宋_GB2312" w:hAnsi="仿宋_GB2312" w:eastAsia="仿宋_GB2312" w:cs="仿宋_GB2312"/>
                <w:sz w:val="21"/>
                <w:szCs w:val="21"/>
              </w:rPr>
              <w:t>.00</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200</w:t>
            </w:r>
            <w:r>
              <w:rPr>
                <w:rFonts w:hint="eastAsia" w:ascii="仿宋_GB2312" w:hAnsi="仿宋_GB2312" w:eastAsia="仿宋_GB2312" w:cs="仿宋_GB2312"/>
                <w:sz w:val="21"/>
                <w:szCs w:val="21"/>
              </w:rPr>
              <w:t>.00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200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98"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五馆一中心项目</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216473.6</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采购社会资本方</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1.00</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216473.60</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216473.60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216473.60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98" w:hRule="atLeast"/>
          <w:jc w:val="center"/>
        </w:trPr>
        <w:tc>
          <w:tcPr>
            <w:tcW w:w="1322"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定州市双修工程</w:t>
            </w:r>
          </w:p>
        </w:tc>
        <w:tc>
          <w:tcPr>
            <w:tcW w:w="887"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100000</w:t>
            </w:r>
          </w:p>
        </w:tc>
        <w:tc>
          <w:tcPr>
            <w:tcW w:w="1003"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采购社会资本方</w:t>
            </w:r>
          </w:p>
        </w:tc>
        <w:tc>
          <w:tcPr>
            <w:tcW w:w="1009"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p>
        </w:tc>
        <w:tc>
          <w:tcPr>
            <w:tcW w:w="665" w:type="dxa"/>
            <w:shd w:val="clear" w:color="auto" w:fill="auto"/>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2"/>
                <w:sz w:val="21"/>
                <w:szCs w:val="21"/>
                <w:lang w:val="en-US" w:eastAsia="zh-CN" w:bidi="ar-SA"/>
              </w:rPr>
            </w:pPr>
          </w:p>
        </w:tc>
        <w:tc>
          <w:tcPr>
            <w:tcW w:w="863"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735"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100000</w:t>
            </w:r>
          </w:p>
        </w:tc>
        <w:tc>
          <w:tcPr>
            <w:tcW w:w="100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100000</w:t>
            </w:r>
          </w:p>
        </w:tc>
        <w:tc>
          <w:tcPr>
            <w:tcW w:w="1146"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default"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100000</w:t>
            </w:r>
          </w:p>
        </w:tc>
        <w:tc>
          <w:tcPr>
            <w:tcW w:w="744"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kern w:val="2"/>
                <w:sz w:val="21"/>
                <w:szCs w:val="21"/>
                <w:lang w:val="en-US" w:eastAsia="zh-CN" w:bidi="ar-SA"/>
              </w:rPr>
            </w:pPr>
          </w:p>
        </w:tc>
        <w:tc>
          <w:tcPr>
            <w:tcW w:w="7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1"/>
                <w:szCs w:val="21"/>
              </w:rPr>
            </w:pPr>
          </w:p>
        </w:tc>
        <w:tc>
          <w:tcPr>
            <w:tcW w:w="55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c>
          <w:tcPr>
            <w:tcW w:w="620" w:type="dxa"/>
            <w:shd w:val="clear" w:color="auto" w:fill="auto"/>
            <w:vAlign w:val="center"/>
          </w:tcPr>
          <w:p>
            <w:pPr>
              <w:keepNext w:val="0"/>
              <w:keepLines w:val="0"/>
              <w:pageBreakBefore w:val="0"/>
              <w:kinsoku/>
              <w:wordWrap/>
              <w:overflowPunct/>
              <w:topLinePunct w:val="0"/>
              <w:autoSpaceDE/>
              <w:autoSpaceDN/>
              <w:bidi w:val="0"/>
              <w:spacing w:line="560" w:lineRule="exact"/>
              <w:jc w:val="right"/>
              <w:textAlignment w:val="auto"/>
              <w:rPr>
                <w:rFonts w:ascii="方正书宋_GBK" w:eastAsia="方正书宋_GBK"/>
              </w:rPr>
            </w:pPr>
          </w:p>
        </w:tc>
      </w:tr>
    </w:tbl>
    <w:p>
      <w:pPr>
        <w:keepNext w:val="0"/>
        <w:keepLines w:val="0"/>
        <w:pageBreakBefore w:val="0"/>
        <w:widowControl/>
        <w:numPr>
          <w:ilvl w:val="0"/>
          <w:numId w:val="0"/>
        </w:numPr>
        <w:shd w:val="clear" w:color="auto" w:fill="FFFFFF"/>
        <w:kinsoku/>
        <w:wordWrap/>
        <w:overflowPunct/>
        <w:topLinePunct w:val="0"/>
        <w:autoSpaceDE/>
        <w:autoSpaceDN/>
        <w:bidi w:val="0"/>
        <w:spacing w:line="560" w:lineRule="exact"/>
        <w:jc w:val="left"/>
        <w:textAlignment w:val="auto"/>
        <w:rPr>
          <w:rFonts w:hint="eastAsia" w:ascii="黑体" w:hAnsi="黑体" w:eastAsia="黑体" w:cs="宋体"/>
          <w:kern w:val="0"/>
          <w:sz w:val="32"/>
          <w:szCs w:val="32"/>
        </w:rPr>
      </w:pPr>
      <w:r>
        <w:rPr>
          <w:rFonts w:hint="eastAsia" w:ascii="黑体" w:hAnsi="黑体" w:eastAsia="黑体" w:cs="宋体"/>
          <w:kern w:val="0"/>
          <w:sz w:val="32"/>
          <w:szCs w:val="32"/>
        </w:rPr>
        <w:t>七、国有资产信息</w:t>
      </w:r>
    </w:p>
    <w:p>
      <w:pPr>
        <w:keepNext w:val="0"/>
        <w:keepLines w:val="0"/>
        <w:pageBreakBefore w:val="0"/>
        <w:kinsoku/>
        <w:wordWrap/>
        <w:overflowPunct/>
        <w:topLinePunct w:val="0"/>
        <w:autoSpaceDE/>
        <w:autoSpaceDN/>
        <w:bidi w:val="0"/>
        <w:spacing w:line="560" w:lineRule="exact"/>
        <w:ind w:left="0" w:leftChars="0" w:right="-212" w:rightChars="-101" w:firstLine="640" w:firstLineChars="200"/>
        <w:jc w:val="both"/>
        <w:textAlignment w:val="auto"/>
        <w:rPr>
          <w:rFonts w:hint="eastAsia" w:ascii="仿宋_GB2312" w:eastAsia="仿宋_GB2312"/>
          <w:sz w:val="32"/>
          <w:szCs w:val="32"/>
        </w:rPr>
      </w:pPr>
      <w:r>
        <w:rPr>
          <w:rFonts w:hint="eastAsia" w:ascii="仿宋_GB2312" w:eastAsia="仿宋_GB2312"/>
          <w:sz w:val="32"/>
          <w:szCs w:val="32"/>
        </w:rPr>
        <w:t>定州市</w:t>
      </w:r>
      <w:r>
        <w:rPr>
          <w:rFonts w:hint="eastAsia" w:ascii="仿宋_GB2312" w:eastAsia="仿宋_GB2312"/>
          <w:sz w:val="32"/>
          <w:szCs w:val="32"/>
          <w:lang w:eastAsia="zh-CN"/>
        </w:rPr>
        <w:t>住房和城乡建设局</w:t>
      </w:r>
      <w:r>
        <w:rPr>
          <w:rFonts w:hint="eastAsia" w:ascii="仿宋_GB2312" w:eastAsia="仿宋_GB2312"/>
          <w:sz w:val="32"/>
          <w:szCs w:val="32"/>
        </w:rPr>
        <w:t>上年末固定资产金额为</w:t>
      </w:r>
      <w:r>
        <w:rPr>
          <w:rFonts w:hint="eastAsia" w:ascii="仿宋_GB2312" w:eastAsia="仿宋_GB2312"/>
          <w:sz w:val="32"/>
          <w:szCs w:val="32"/>
          <w:lang w:val="en-US" w:eastAsia="zh-CN"/>
        </w:rPr>
        <w:t>730.44</w:t>
      </w:r>
      <w:r>
        <w:rPr>
          <w:rFonts w:hint="eastAsia" w:ascii="仿宋_GB2312" w:eastAsia="仿宋_GB2312"/>
          <w:sz w:val="32"/>
          <w:szCs w:val="32"/>
        </w:rPr>
        <w:t>万元（详见下表），本年度拟购置固定资产总额为</w:t>
      </w:r>
      <w:r>
        <w:rPr>
          <w:rFonts w:hint="eastAsia" w:ascii="仿宋_GB2312" w:eastAsia="仿宋_GB2312"/>
          <w:sz w:val="32"/>
          <w:szCs w:val="32"/>
          <w:lang w:val="en-US" w:eastAsia="zh-CN"/>
        </w:rPr>
        <w:t>19.3</w:t>
      </w:r>
      <w:r>
        <w:rPr>
          <w:rFonts w:hint="eastAsia" w:ascii="仿宋_GB2312" w:eastAsia="仿宋_GB2312"/>
          <w:sz w:val="32"/>
          <w:szCs w:val="32"/>
        </w:rPr>
        <w:t>万元，主要为计算机设备、打印设备、空调、办公家具等，已列入政府采购预算，详见政府采购预算表。</w:t>
      </w:r>
    </w:p>
    <w:p>
      <w:pPr>
        <w:keepNext w:val="0"/>
        <w:keepLines w:val="0"/>
        <w:pageBreakBefore w:val="0"/>
        <w:shd w:val="clear"/>
        <w:kinsoku/>
        <w:wordWrap/>
        <w:overflowPunct/>
        <w:topLinePunct w:val="0"/>
        <w:autoSpaceDE/>
        <w:autoSpaceDN/>
        <w:bidi w:val="0"/>
        <w:spacing w:line="560" w:lineRule="exact"/>
        <w:jc w:val="center"/>
        <w:textAlignment w:val="auto"/>
        <w:rPr>
          <w:rFonts w:hint="eastAsia" w:ascii="方正小标宋_GBK" w:eastAsia="方正小标宋_GBK"/>
          <w:sz w:val="32"/>
          <w:szCs w:val="32"/>
          <w:highlight w:val="none"/>
        </w:rPr>
      </w:pPr>
      <w:r>
        <w:rPr>
          <w:rFonts w:hint="eastAsia" w:ascii="方正小标宋_GBK" w:eastAsia="方正小标宋_GBK"/>
          <w:sz w:val="32"/>
          <w:szCs w:val="32"/>
          <w:highlight w:val="none"/>
        </w:rPr>
        <w:t>固定资产占用情况表</w:t>
      </w:r>
    </w:p>
    <w:tbl>
      <w:tblPr>
        <w:tblStyle w:val="5"/>
        <w:tblpPr w:leftFromText="180" w:rightFromText="180" w:vertAnchor="text" w:horzAnchor="page" w:tblpX="251" w:tblpY="463"/>
        <w:tblOverlap w:val="never"/>
        <w:tblW w:w="11559" w:type="dxa"/>
        <w:tblInd w:w="0" w:type="dxa"/>
        <w:tblLayout w:type="autofit"/>
        <w:tblCellMar>
          <w:top w:w="0" w:type="dxa"/>
          <w:left w:w="108" w:type="dxa"/>
          <w:bottom w:w="0" w:type="dxa"/>
          <w:right w:w="108" w:type="dxa"/>
        </w:tblCellMar>
      </w:tblPr>
      <w:tblGrid>
        <w:gridCol w:w="4479"/>
        <w:gridCol w:w="2706"/>
        <w:gridCol w:w="4374"/>
      </w:tblGrid>
      <w:tr>
        <w:tblPrEx>
          <w:tblCellMar>
            <w:top w:w="0" w:type="dxa"/>
            <w:left w:w="108" w:type="dxa"/>
            <w:bottom w:w="0" w:type="dxa"/>
            <w:right w:w="108" w:type="dxa"/>
          </w:tblCellMar>
        </w:tblPrEx>
        <w:trPr>
          <w:trHeight w:val="406" w:hRule="atLeast"/>
        </w:trPr>
        <w:tc>
          <w:tcPr>
            <w:tcW w:w="7185"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eastAsia="方正仿宋_GBK"/>
                <w:sz w:val="28"/>
                <w:highlight w:val="none"/>
                <w:lang w:eastAsia="zh-CN"/>
              </w:rPr>
            </w:pPr>
            <w:r>
              <w:rPr>
                <w:rFonts w:hint="eastAsia" w:eastAsia="方正仿宋_GBK"/>
                <w:sz w:val="28"/>
                <w:highlight w:val="none"/>
              </w:rPr>
              <w:t>3</w:t>
            </w:r>
            <w:r>
              <w:rPr>
                <w:rFonts w:hint="eastAsia" w:eastAsia="方正仿宋_GBK"/>
                <w:sz w:val="28"/>
                <w:highlight w:val="none"/>
                <w:lang w:val="en-US" w:eastAsia="zh-CN"/>
              </w:rPr>
              <w:t>33</w:t>
            </w:r>
            <w:r>
              <w:rPr>
                <w:rFonts w:hint="eastAsia" w:eastAsia="方正仿宋_GBK"/>
                <w:sz w:val="28"/>
                <w:highlight w:val="none"/>
              </w:rPr>
              <w:t>定州市</w:t>
            </w:r>
            <w:r>
              <w:rPr>
                <w:rFonts w:hint="eastAsia" w:eastAsia="方正仿宋_GBK"/>
                <w:sz w:val="28"/>
                <w:highlight w:val="none"/>
                <w:lang w:eastAsia="zh-CN"/>
              </w:rPr>
              <w:t>住房和城乡建设局</w:t>
            </w:r>
          </w:p>
        </w:tc>
        <w:tc>
          <w:tcPr>
            <w:tcW w:w="4374" w:type="dxa"/>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spacing w:line="560" w:lineRule="exact"/>
              <w:jc w:val="right"/>
              <w:textAlignment w:val="auto"/>
              <w:rPr>
                <w:rFonts w:ascii="方正小标宋_GBK" w:eastAsia="方正小标宋_GBK"/>
                <w:sz w:val="24"/>
                <w:highlight w:val="none"/>
              </w:rPr>
            </w:pPr>
            <w:r>
              <w:rPr>
                <w:rFonts w:hint="eastAsia" w:ascii="方正小标宋_GBK" w:eastAsia="方正小标宋_GBK"/>
                <w:sz w:val="24"/>
                <w:highlight w:val="none"/>
              </w:rPr>
              <w:t>截止时间：</w:t>
            </w:r>
            <w:r>
              <w:rPr>
                <w:rFonts w:hint="eastAsia" w:eastAsia="方正仿宋_GBK"/>
                <w:sz w:val="28"/>
                <w:highlight w:val="none"/>
              </w:rPr>
              <w:t>20</w:t>
            </w:r>
            <w:r>
              <w:rPr>
                <w:rFonts w:hint="eastAsia" w:eastAsia="方正仿宋_GBK"/>
                <w:sz w:val="28"/>
                <w:highlight w:val="none"/>
                <w:lang w:val="en-US" w:eastAsia="zh-CN"/>
              </w:rPr>
              <w:t>19</w:t>
            </w:r>
            <w:r>
              <w:rPr>
                <w:rFonts w:hint="eastAsia" w:eastAsia="方正仿宋_GBK"/>
                <w:sz w:val="28"/>
                <w:highlight w:val="none"/>
              </w:rPr>
              <w:t>年</w:t>
            </w:r>
            <w:r>
              <w:rPr>
                <w:rFonts w:hint="eastAsia" w:eastAsia="方正仿宋_GBK"/>
                <w:sz w:val="28"/>
                <w:highlight w:val="none"/>
                <w:lang w:val="en-US" w:eastAsia="zh-CN"/>
              </w:rPr>
              <w:t>12</w:t>
            </w:r>
            <w:r>
              <w:rPr>
                <w:rFonts w:hint="eastAsia" w:eastAsia="方正仿宋_GBK"/>
                <w:sz w:val="28"/>
                <w:highlight w:val="none"/>
              </w:rPr>
              <w:t>月</w:t>
            </w:r>
            <w:r>
              <w:rPr>
                <w:rFonts w:hint="eastAsia" w:eastAsia="方正仿宋_GBK"/>
                <w:sz w:val="28"/>
                <w:highlight w:val="none"/>
                <w:lang w:val="en-US" w:eastAsia="zh-CN"/>
              </w:rPr>
              <w:t>31</w:t>
            </w:r>
            <w:r>
              <w:rPr>
                <w:rFonts w:hint="eastAsia" w:eastAsia="方正仿宋_GBK"/>
                <w:sz w:val="28"/>
                <w:highlight w:val="none"/>
              </w:rPr>
              <w:t>日</w:t>
            </w:r>
            <w:r>
              <w:rPr>
                <w:rFonts w:hint="eastAsia" w:ascii="方正小标宋_GBK" w:eastAsia="方正小标宋_GBK"/>
                <w:sz w:val="24"/>
                <w:highlight w:val="none"/>
              </w:rPr>
              <w:t xml:space="preserve">  </w:t>
            </w:r>
          </w:p>
        </w:tc>
      </w:tr>
      <w:tr>
        <w:tblPrEx>
          <w:tblCellMar>
            <w:top w:w="0" w:type="dxa"/>
            <w:left w:w="108" w:type="dxa"/>
            <w:bottom w:w="0" w:type="dxa"/>
            <w:right w:w="108" w:type="dxa"/>
          </w:tblCellMar>
        </w:tblPrEx>
        <w:trPr>
          <w:trHeight w:val="621" w:hRule="atLeast"/>
        </w:trPr>
        <w:tc>
          <w:tcPr>
            <w:tcW w:w="447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ascii="方正书宋_GBK" w:hAnsi="宋体" w:eastAsia="方正书宋_GBK" w:cs="宋体"/>
                <w:b/>
                <w:bCs/>
                <w:kern w:val="0"/>
                <w:szCs w:val="21"/>
                <w:highlight w:val="none"/>
              </w:rPr>
            </w:pPr>
            <w:r>
              <w:rPr>
                <w:rFonts w:hint="eastAsia" w:ascii="方正书宋_GBK" w:hAnsi="宋体" w:eastAsia="方正书宋_GBK" w:cs="宋体"/>
                <w:b/>
                <w:bCs/>
                <w:kern w:val="0"/>
                <w:szCs w:val="21"/>
                <w:highlight w:val="none"/>
              </w:rPr>
              <w:t>项   目</w:t>
            </w:r>
          </w:p>
        </w:tc>
        <w:tc>
          <w:tcPr>
            <w:tcW w:w="270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ascii="方正书宋_GBK" w:hAnsi="宋体" w:eastAsia="方正书宋_GBK" w:cs="宋体"/>
                <w:b/>
                <w:bCs/>
                <w:kern w:val="0"/>
                <w:szCs w:val="21"/>
                <w:highlight w:val="none"/>
              </w:rPr>
            </w:pPr>
            <w:r>
              <w:rPr>
                <w:rFonts w:hint="eastAsia" w:ascii="方正书宋_GBK" w:hAnsi="宋体" w:eastAsia="方正书宋_GBK" w:cs="宋体"/>
                <w:b/>
                <w:bCs/>
                <w:kern w:val="0"/>
                <w:szCs w:val="21"/>
                <w:highlight w:val="none"/>
              </w:rPr>
              <w:t>数量</w:t>
            </w:r>
          </w:p>
        </w:tc>
        <w:tc>
          <w:tcPr>
            <w:tcW w:w="437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ascii="方正书宋_GBK" w:hAnsi="宋体" w:eastAsia="方正书宋_GBK" w:cs="宋体"/>
                <w:b/>
                <w:bCs/>
                <w:kern w:val="0"/>
                <w:szCs w:val="21"/>
                <w:highlight w:val="none"/>
              </w:rPr>
            </w:pPr>
            <w:r>
              <w:rPr>
                <w:rFonts w:hint="eastAsia" w:ascii="方正书宋_GBK" w:hAnsi="宋体" w:eastAsia="方正书宋_GBK" w:cs="宋体"/>
                <w:b/>
                <w:bCs/>
                <w:kern w:val="0"/>
                <w:szCs w:val="21"/>
                <w:highlight w:val="none"/>
              </w:rPr>
              <w:t>价值（金额单位：万元）</w:t>
            </w:r>
          </w:p>
        </w:tc>
      </w:tr>
      <w:tr>
        <w:tblPrEx>
          <w:tblCellMar>
            <w:top w:w="0" w:type="dxa"/>
            <w:left w:w="108" w:type="dxa"/>
            <w:bottom w:w="0" w:type="dxa"/>
            <w:right w:w="108" w:type="dxa"/>
          </w:tblCellMar>
        </w:tblPrEx>
        <w:trPr>
          <w:trHeight w:val="398" w:hRule="atLeast"/>
        </w:trPr>
        <w:tc>
          <w:tcPr>
            <w:tcW w:w="44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方正书宋_GBK" w:hAnsi="宋体" w:eastAsia="方正书宋_GBK" w:cs="宋体"/>
                <w:kern w:val="0"/>
                <w:szCs w:val="21"/>
                <w:highlight w:val="none"/>
              </w:rPr>
            </w:pPr>
            <w:r>
              <w:rPr>
                <w:rFonts w:hint="eastAsia" w:ascii="方正书宋_GBK" w:hAnsi="宋体" w:eastAsia="方正书宋_GBK" w:cs="宋体"/>
                <w:kern w:val="0"/>
                <w:szCs w:val="21"/>
                <w:highlight w:val="none"/>
              </w:rPr>
              <w:t>资产总额</w:t>
            </w:r>
          </w:p>
        </w:tc>
        <w:tc>
          <w:tcPr>
            <w:tcW w:w="270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方正书宋_GBK" w:eastAsia="方正书宋_GBK"/>
                <w:kern w:val="0"/>
                <w:szCs w:val="21"/>
                <w:highlight w:val="none"/>
              </w:rPr>
            </w:pPr>
            <w:r>
              <w:rPr>
                <w:rFonts w:hint="eastAsia" w:ascii="方正书宋_GBK" w:eastAsia="方正书宋_GBK"/>
                <w:kern w:val="0"/>
                <w:szCs w:val="21"/>
                <w:highlight w:val="none"/>
              </w:rPr>
              <w:t>——</w:t>
            </w:r>
          </w:p>
        </w:tc>
        <w:tc>
          <w:tcPr>
            <w:tcW w:w="4374"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kern w:val="0"/>
                <w:szCs w:val="21"/>
                <w:highlight w:val="none"/>
                <w:lang w:val="en-US" w:eastAsia="zh-CN"/>
              </w:rPr>
            </w:pPr>
            <w:r>
              <w:rPr>
                <w:rFonts w:hint="eastAsia" w:ascii="方正书宋_GBK" w:eastAsia="方正书宋_GBK"/>
                <w:kern w:val="0"/>
                <w:szCs w:val="21"/>
                <w:highlight w:val="none"/>
                <w:lang w:val="en-US" w:eastAsia="zh-CN"/>
              </w:rPr>
              <w:t>730.44</w:t>
            </w:r>
          </w:p>
        </w:tc>
      </w:tr>
      <w:tr>
        <w:tblPrEx>
          <w:tblCellMar>
            <w:top w:w="0" w:type="dxa"/>
            <w:left w:w="108" w:type="dxa"/>
            <w:bottom w:w="0" w:type="dxa"/>
            <w:right w:w="108" w:type="dxa"/>
          </w:tblCellMar>
        </w:tblPrEx>
        <w:trPr>
          <w:trHeight w:val="398" w:hRule="atLeast"/>
        </w:trPr>
        <w:tc>
          <w:tcPr>
            <w:tcW w:w="44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方正书宋_GBK" w:hAnsi="宋体" w:eastAsia="方正书宋_GBK" w:cs="宋体"/>
                <w:kern w:val="0"/>
                <w:szCs w:val="21"/>
                <w:highlight w:val="none"/>
              </w:rPr>
            </w:pPr>
            <w:r>
              <w:rPr>
                <w:rFonts w:hint="eastAsia" w:ascii="方正书宋_GBK" w:hAnsi="宋体" w:eastAsia="方正书宋_GBK" w:cs="宋体"/>
                <w:kern w:val="0"/>
                <w:szCs w:val="21"/>
                <w:highlight w:val="none"/>
              </w:rPr>
              <w:t>1、房屋（平方米）</w:t>
            </w:r>
          </w:p>
        </w:tc>
        <w:tc>
          <w:tcPr>
            <w:tcW w:w="2706"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szCs w:val="21"/>
                <w:highlight w:val="none"/>
                <w:lang w:val="en-US" w:eastAsia="zh-CN"/>
              </w:rPr>
            </w:pPr>
            <w:r>
              <w:rPr>
                <w:rFonts w:hint="eastAsia" w:ascii="方正书宋_GBK" w:eastAsia="方正书宋_GBK"/>
                <w:szCs w:val="21"/>
                <w:highlight w:val="none"/>
                <w:lang w:val="en-US" w:eastAsia="zh-CN"/>
              </w:rPr>
              <w:t>3650</w:t>
            </w:r>
          </w:p>
        </w:tc>
        <w:tc>
          <w:tcPr>
            <w:tcW w:w="4374"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b/>
                <w:szCs w:val="21"/>
                <w:highlight w:val="none"/>
                <w:lang w:val="en-US" w:eastAsia="zh-CN"/>
              </w:rPr>
            </w:pPr>
            <w:r>
              <w:rPr>
                <w:rFonts w:hint="eastAsia" w:ascii="方正书宋_GBK" w:eastAsia="方正书宋_GBK"/>
                <w:b/>
                <w:szCs w:val="21"/>
                <w:highlight w:val="none"/>
                <w:lang w:val="en-US" w:eastAsia="zh-CN"/>
              </w:rPr>
              <w:t>125.36</w:t>
            </w:r>
          </w:p>
        </w:tc>
      </w:tr>
      <w:tr>
        <w:tblPrEx>
          <w:tblCellMar>
            <w:top w:w="0" w:type="dxa"/>
            <w:left w:w="108" w:type="dxa"/>
            <w:bottom w:w="0" w:type="dxa"/>
            <w:right w:w="108" w:type="dxa"/>
          </w:tblCellMar>
        </w:tblPrEx>
        <w:trPr>
          <w:trHeight w:val="398" w:hRule="atLeast"/>
        </w:trPr>
        <w:tc>
          <w:tcPr>
            <w:tcW w:w="44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方正书宋_GBK" w:hAnsi="宋体" w:eastAsia="方正书宋_GBK" w:cs="宋体"/>
                <w:kern w:val="0"/>
                <w:szCs w:val="21"/>
                <w:highlight w:val="none"/>
              </w:rPr>
            </w:pPr>
            <w:r>
              <w:rPr>
                <w:rFonts w:hint="eastAsia" w:ascii="方正书宋_GBK" w:hAnsi="宋体" w:eastAsia="方正书宋_GBK" w:cs="宋体"/>
                <w:kern w:val="0"/>
                <w:szCs w:val="21"/>
                <w:highlight w:val="none"/>
              </w:rPr>
              <w:t xml:space="preserve">   其中：办公用房（平方米）</w:t>
            </w:r>
          </w:p>
        </w:tc>
        <w:tc>
          <w:tcPr>
            <w:tcW w:w="2706"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szCs w:val="21"/>
                <w:highlight w:val="none"/>
                <w:lang w:val="en-US" w:eastAsia="zh-CN"/>
              </w:rPr>
            </w:pPr>
            <w:r>
              <w:rPr>
                <w:rFonts w:hint="eastAsia" w:ascii="方正书宋_GBK" w:eastAsia="方正书宋_GBK"/>
                <w:szCs w:val="21"/>
                <w:highlight w:val="none"/>
                <w:lang w:val="en-US" w:eastAsia="zh-CN"/>
              </w:rPr>
              <w:t>3650</w:t>
            </w:r>
          </w:p>
        </w:tc>
        <w:tc>
          <w:tcPr>
            <w:tcW w:w="4374"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szCs w:val="21"/>
                <w:highlight w:val="none"/>
                <w:lang w:val="en-US" w:eastAsia="zh-CN"/>
              </w:rPr>
            </w:pPr>
            <w:r>
              <w:rPr>
                <w:rFonts w:hint="eastAsia" w:ascii="方正书宋_GBK" w:eastAsia="方正书宋_GBK"/>
                <w:szCs w:val="21"/>
                <w:highlight w:val="none"/>
                <w:lang w:val="en-US" w:eastAsia="zh-CN"/>
              </w:rPr>
              <w:t>125.36</w:t>
            </w:r>
          </w:p>
        </w:tc>
      </w:tr>
      <w:tr>
        <w:tblPrEx>
          <w:tblCellMar>
            <w:top w:w="0" w:type="dxa"/>
            <w:left w:w="108" w:type="dxa"/>
            <w:bottom w:w="0" w:type="dxa"/>
            <w:right w:w="108" w:type="dxa"/>
          </w:tblCellMar>
        </w:tblPrEx>
        <w:trPr>
          <w:trHeight w:val="398" w:hRule="atLeast"/>
        </w:trPr>
        <w:tc>
          <w:tcPr>
            <w:tcW w:w="44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方正书宋_GBK" w:hAnsi="宋体" w:eastAsia="方正书宋_GBK" w:cs="宋体"/>
                <w:kern w:val="0"/>
                <w:szCs w:val="21"/>
                <w:highlight w:val="none"/>
              </w:rPr>
            </w:pPr>
            <w:r>
              <w:rPr>
                <w:rFonts w:hint="eastAsia" w:ascii="方正书宋_GBK" w:hAnsi="宋体" w:eastAsia="方正书宋_GBK" w:cs="宋体"/>
                <w:kern w:val="0"/>
                <w:szCs w:val="21"/>
                <w:highlight w:val="none"/>
              </w:rPr>
              <w:t>2、车辆（台、辆）</w:t>
            </w:r>
          </w:p>
        </w:tc>
        <w:tc>
          <w:tcPr>
            <w:tcW w:w="2706"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szCs w:val="21"/>
                <w:highlight w:val="none"/>
                <w:lang w:val="en-US" w:eastAsia="zh-CN"/>
              </w:rPr>
            </w:pPr>
            <w:r>
              <w:rPr>
                <w:rFonts w:hint="eastAsia" w:ascii="方正书宋_GBK" w:eastAsia="方正书宋_GBK"/>
                <w:szCs w:val="21"/>
                <w:highlight w:val="none"/>
                <w:lang w:val="en-US" w:eastAsia="zh-CN"/>
              </w:rPr>
              <w:t>0</w:t>
            </w:r>
          </w:p>
        </w:tc>
        <w:tc>
          <w:tcPr>
            <w:tcW w:w="4374"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szCs w:val="21"/>
                <w:highlight w:val="none"/>
                <w:lang w:val="en-US" w:eastAsia="zh-CN"/>
              </w:rPr>
            </w:pPr>
            <w:r>
              <w:rPr>
                <w:rFonts w:hint="eastAsia" w:ascii="方正书宋_GBK" w:eastAsia="方正书宋_GBK"/>
                <w:szCs w:val="21"/>
                <w:highlight w:val="none"/>
                <w:lang w:val="en-US" w:eastAsia="zh-CN"/>
              </w:rPr>
              <w:t>0</w:t>
            </w:r>
          </w:p>
        </w:tc>
      </w:tr>
      <w:tr>
        <w:tblPrEx>
          <w:tblCellMar>
            <w:top w:w="0" w:type="dxa"/>
            <w:left w:w="108" w:type="dxa"/>
            <w:bottom w:w="0" w:type="dxa"/>
            <w:right w:w="108" w:type="dxa"/>
          </w:tblCellMar>
        </w:tblPrEx>
        <w:trPr>
          <w:trHeight w:val="398" w:hRule="atLeast"/>
        </w:trPr>
        <w:tc>
          <w:tcPr>
            <w:tcW w:w="4479"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方正书宋_GBK" w:hAnsi="宋体" w:eastAsia="方正书宋_GBK" w:cs="宋体"/>
                <w:kern w:val="0"/>
                <w:szCs w:val="21"/>
                <w:highlight w:val="none"/>
              </w:rPr>
            </w:pPr>
            <w:r>
              <w:rPr>
                <w:rFonts w:hint="eastAsia" w:ascii="方正书宋_GBK" w:hAnsi="宋体" w:eastAsia="方正书宋_GBK" w:cs="宋体"/>
                <w:kern w:val="0"/>
                <w:szCs w:val="21"/>
                <w:highlight w:val="none"/>
              </w:rPr>
              <w:t>3、单价在20万元以上的设备</w:t>
            </w:r>
          </w:p>
        </w:tc>
        <w:tc>
          <w:tcPr>
            <w:tcW w:w="2706"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书宋_GBK" w:eastAsia="方正书宋_GBK"/>
                <w:szCs w:val="21"/>
                <w:highlight w:val="none"/>
                <w:lang w:val="en-US" w:eastAsia="zh-CN"/>
              </w:rPr>
            </w:pPr>
            <w:r>
              <w:rPr>
                <w:rFonts w:hint="eastAsia" w:ascii="方正书宋_GBK" w:eastAsia="方正书宋_GBK"/>
                <w:szCs w:val="21"/>
                <w:highlight w:val="none"/>
                <w:lang w:val="en-US" w:eastAsia="zh-CN"/>
              </w:rPr>
              <w:t>—</w:t>
            </w:r>
          </w:p>
        </w:tc>
        <w:tc>
          <w:tcPr>
            <w:tcW w:w="4374"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书宋_GBK" w:eastAsia="方正书宋_GBK"/>
                <w:szCs w:val="21"/>
                <w:highlight w:val="none"/>
                <w:lang w:val="en-US" w:eastAsia="zh-CN"/>
              </w:rPr>
            </w:pPr>
            <w:r>
              <w:rPr>
                <w:rFonts w:hint="eastAsia" w:ascii="方正书宋_GBK" w:eastAsia="方正书宋_GBK"/>
                <w:szCs w:val="21"/>
                <w:highlight w:val="none"/>
                <w:lang w:val="en-US" w:eastAsia="zh-CN"/>
              </w:rPr>
              <w:t>—</w:t>
            </w:r>
          </w:p>
        </w:tc>
      </w:tr>
      <w:tr>
        <w:tblPrEx>
          <w:tblCellMar>
            <w:top w:w="0" w:type="dxa"/>
            <w:left w:w="108" w:type="dxa"/>
            <w:bottom w:w="0" w:type="dxa"/>
            <w:right w:w="108" w:type="dxa"/>
          </w:tblCellMar>
        </w:tblPrEx>
        <w:trPr>
          <w:trHeight w:val="435" w:hRule="atLeast"/>
        </w:trPr>
        <w:tc>
          <w:tcPr>
            <w:tcW w:w="4479"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ascii="方正书宋_GBK" w:hAnsi="宋体" w:eastAsia="方正书宋_GBK" w:cs="宋体"/>
                <w:kern w:val="0"/>
                <w:szCs w:val="21"/>
                <w:highlight w:val="none"/>
              </w:rPr>
            </w:pPr>
            <w:r>
              <w:rPr>
                <w:rFonts w:hint="eastAsia" w:ascii="方正书宋_GBK" w:hAnsi="宋体" w:eastAsia="方正书宋_GBK" w:cs="宋体"/>
                <w:kern w:val="0"/>
                <w:szCs w:val="21"/>
                <w:highlight w:val="none"/>
              </w:rPr>
              <w:t>4、其他固定资产</w:t>
            </w:r>
          </w:p>
        </w:tc>
        <w:tc>
          <w:tcPr>
            <w:tcW w:w="2706"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书宋_GBK" w:eastAsia="方正书宋_GBK"/>
                <w:szCs w:val="21"/>
                <w:highlight w:val="none"/>
                <w:lang w:eastAsia="zh-CN"/>
              </w:rPr>
            </w:pPr>
            <w:r>
              <w:rPr>
                <w:rFonts w:hint="eastAsia" w:ascii="方正书宋_GBK" w:eastAsia="方正书宋_GBK"/>
                <w:szCs w:val="21"/>
                <w:highlight w:val="none"/>
                <w:lang w:eastAsia="zh-CN"/>
              </w:rPr>
              <w:t>—</w:t>
            </w:r>
          </w:p>
        </w:tc>
        <w:tc>
          <w:tcPr>
            <w:tcW w:w="4374" w:type="dxa"/>
            <w:tcBorders>
              <w:top w:val="nil"/>
              <w:left w:val="nil"/>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方正书宋_GBK" w:eastAsia="方正书宋_GBK"/>
                <w:szCs w:val="21"/>
                <w:highlight w:val="none"/>
                <w:lang w:val="en-US" w:eastAsia="zh-CN"/>
              </w:rPr>
            </w:pPr>
            <w:r>
              <w:rPr>
                <w:rFonts w:hint="eastAsia" w:ascii="方正书宋_GBK" w:eastAsia="方正书宋_GBK"/>
                <w:szCs w:val="21"/>
                <w:highlight w:val="none"/>
                <w:lang w:val="en-US" w:eastAsia="zh-CN"/>
              </w:rPr>
              <w:t>605.08</w:t>
            </w:r>
          </w:p>
        </w:tc>
      </w:tr>
    </w:tbl>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黑体" w:hAnsi="黑体" w:eastAsia="黑体" w:cs="宋体"/>
          <w:kern w:val="0"/>
          <w:sz w:val="32"/>
          <w:szCs w:val="32"/>
          <w:highlight w:val="none"/>
        </w:rPr>
      </w:pPr>
    </w:p>
    <w:p>
      <w:pPr>
        <w:keepNext w:val="0"/>
        <w:keepLines w:val="0"/>
        <w:pageBreakBefore w:val="0"/>
        <w:widowControl/>
        <w:numPr>
          <w:ilvl w:val="0"/>
          <w:numId w:val="3"/>
        </w:numPr>
        <w:shd w:val="clear" w:color="auto" w:fill="FFFFFF"/>
        <w:kinsoku/>
        <w:wordWrap/>
        <w:overflowPunct/>
        <w:topLinePunct w:val="0"/>
        <w:autoSpaceDE/>
        <w:autoSpaceDN/>
        <w:bidi w:val="0"/>
        <w:spacing w:line="560" w:lineRule="exact"/>
        <w:ind w:firstLine="640" w:firstLineChars="200"/>
        <w:jc w:val="left"/>
        <w:textAlignment w:val="auto"/>
        <w:rPr>
          <w:rFonts w:hint="eastAsia" w:ascii="黑体" w:hAnsi="黑体" w:eastAsia="黑体" w:cs="宋体"/>
          <w:kern w:val="0"/>
          <w:sz w:val="32"/>
          <w:szCs w:val="32"/>
        </w:rPr>
      </w:pPr>
      <w:r>
        <w:rPr>
          <w:rFonts w:hint="eastAsia" w:ascii="黑体" w:hAnsi="黑体" w:eastAsia="黑体" w:cs="宋体"/>
          <w:kern w:val="0"/>
          <w:sz w:val="32"/>
          <w:szCs w:val="32"/>
        </w:rPr>
        <w:t>专业名词解释</w:t>
      </w:r>
    </w:p>
    <w:p>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黑体" w:hAnsi="黑体" w:eastAsia="黑体" w:cs="宋体"/>
          <w:kern w:val="0"/>
          <w:sz w:val="32"/>
          <w:szCs w:val="32"/>
        </w:rPr>
      </w:pPr>
      <w:r>
        <w:rPr>
          <w:rFonts w:hint="eastAsia" w:ascii="仿宋_GB2312" w:eastAsia="仿宋_GB2312"/>
          <w:sz w:val="32"/>
          <w:szCs w:val="32"/>
        </w:rPr>
        <w:t>三公经费指因公出国（境）费、公务用车购置及运行费和公务接待费。</w:t>
      </w:r>
    </w:p>
    <w:p>
      <w:pPr>
        <w:keepNext w:val="0"/>
        <w:keepLines w:val="0"/>
        <w:pageBreakBefore w:val="0"/>
        <w:widowControl/>
        <w:numPr>
          <w:ilvl w:val="0"/>
          <w:numId w:val="3"/>
        </w:numPr>
        <w:shd w:val="clear" w:color="auto" w:fill="FFFFFF"/>
        <w:kinsoku/>
        <w:wordWrap/>
        <w:overflowPunct/>
        <w:topLinePunct w:val="0"/>
        <w:autoSpaceDE/>
        <w:autoSpaceDN/>
        <w:bidi w:val="0"/>
        <w:spacing w:line="560" w:lineRule="exact"/>
        <w:ind w:left="0" w:leftChars="0" w:firstLine="640" w:firstLineChars="200"/>
        <w:jc w:val="left"/>
        <w:textAlignment w:val="auto"/>
        <w:rPr>
          <w:rFonts w:hint="eastAsia" w:ascii="黑体" w:hAnsi="黑体" w:eastAsia="黑体" w:cs="宋体"/>
          <w:kern w:val="0"/>
          <w:sz w:val="32"/>
          <w:szCs w:val="32"/>
        </w:rPr>
      </w:pPr>
      <w:r>
        <w:rPr>
          <w:rFonts w:hint="eastAsia" w:ascii="黑体" w:hAnsi="黑体" w:eastAsia="黑体" w:cs="宋体"/>
          <w:kern w:val="0"/>
          <w:sz w:val="32"/>
          <w:szCs w:val="32"/>
        </w:rPr>
        <w:t>其他需说明的事项</w:t>
      </w:r>
    </w:p>
    <w:p>
      <w:pPr>
        <w:keepNext w:val="0"/>
        <w:keepLines w:val="0"/>
        <w:pageBreakBefore w:val="0"/>
        <w:widowControl/>
        <w:numPr>
          <w:ilvl w:val="0"/>
          <w:numId w:val="0"/>
        </w:numPr>
        <w:shd w:val="clear" w:color="auto" w:fill="FFFFFF"/>
        <w:kinsoku/>
        <w:wordWrap/>
        <w:overflowPunct/>
        <w:topLinePunct w:val="0"/>
        <w:autoSpaceDE/>
        <w:autoSpaceDN/>
        <w:bidi w:val="0"/>
        <w:spacing w:line="560" w:lineRule="exact"/>
        <w:ind w:left="0" w:leftChars="0" w:firstLine="640" w:firstLineChars="200"/>
        <w:jc w:val="left"/>
        <w:textAlignment w:val="auto"/>
        <w:rPr>
          <w:rFonts w:hint="eastAsia" w:ascii="黑体" w:hAnsi="黑体" w:eastAsia="仿宋_GB2312" w:cs="宋体"/>
          <w:kern w:val="0"/>
          <w:sz w:val="32"/>
          <w:szCs w:val="32"/>
          <w:lang w:eastAsia="zh-CN"/>
        </w:rPr>
      </w:pPr>
      <w:r>
        <w:rPr>
          <w:rFonts w:hint="eastAsia" w:ascii="仿宋_GB2312" w:eastAsia="仿宋_GB2312"/>
          <w:sz w:val="32"/>
          <w:szCs w:val="32"/>
          <w:lang w:val="en-US" w:eastAsia="zh-CN"/>
        </w:rPr>
        <w:t>2020年度本</w:t>
      </w:r>
      <w:r>
        <w:rPr>
          <w:rFonts w:hint="eastAsia" w:ascii="仿宋_GB2312" w:eastAsia="仿宋_GB2312"/>
          <w:sz w:val="32"/>
          <w:szCs w:val="32"/>
          <w:lang w:eastAsia="zh-CN"/>
        </w:rPr>
        <w:t>部门无</w:t>
      </w:r>
      <w:r>
        <w:rPr>
          <w:rFonts w:hint="eastAsia" w:ascii="仿宋_GB2312" w:eastAsia="仿宋_GB2312"/>
          <w:sz w:val="32"/>
          <w:szCs w:val="32"/>
        </w:rPr>
        <w:t>国有资本经营预算</w:t>
      </w:r>
      <w:r>
        <w:rPr>
          <w:rFonts w:hint="eastAsia" w:ascii="仿宋_GB2312" w:eastAsia="仿宋_GB2312"/>
          <w:sz w:val="32"/>
          <w:szCs w:val="32"/>
          <w:lang w:eastAsia="zh-CN"/>
        </w:rPr>
        <w:t>，故国有资本经营预算财政拨款支出表空表列示。</w:t>
      </w:r>
    </w:p>
    <w:p>
      <w:pPr>
        <w:keepNext w:val="0"/>
        <w:keepLines w:val="0"/>
        <w:pageBreakBefore w:val="0"/>
        <w:widowControl/>
        <w:kinsoku/>
        <w:wordWrap/>
        <w:overflowPunct/>
        <w:topLinePunct w:val="0"/>
        <w:autoSpaceDE/>
        <w:autoSpaceDN/>
        <w:bidi w:val="0"/>
        <w:spacing w:line="560" w:lineRule="exact"/>
        <w:ind w:firstLine="640"/>
        <w:jc w:val="left"/>
        <w:textAlignment w:val="auto"/>
      </w:pPr>
    </w:p>
    <w:sectPr>
      <w:pgSz w:w="11906" w:h="16838"/>
      <w:pgMar w:top="1803" w:right="1440" w:bottom="180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D60E32"/>
    <w:multiLevelType w:val="singleLevel"/>
    <w:tmpl w:val="B7D60E32"/>
    <w:lvl w:ilvl="0" w:tentative="0">
      <w:start w:val="2"/>
      <w:numFmt w:val="chineseCounting"/>
      <w:suff w:val="nothing"/>
      <w:lvlText w:val="%1、"/>
      <w:lvlJc w:val="left"/>
      <w:rPr>
        <w:rFonts w:hint="eastAsia"/>
      </w:rPr>
    </w:lvl>
  </w:abstractNum>
  <w:abstractNum w:abstractNumId="1">
    <w:nsid w:val="E442AEF8"/>
    <w:multiLevelType w:val="singleLevel"/>
    <w:tmpl w:val="E442AEF8"/>
    <w:lvl w:ilvl="0" w:tentative="0">
      <w:start w:val="8"/>
      <w:numFmt w:val="chineseCounting"/>
      <w:suff w:val="nothing"/>
      <w:lvlText w:val="%1、"/>
      <w:lvlJc w:val="left"/>
      <w:rPr>
        <w:rFonts w:hint="eastAsia"/>
      </w:rPr>
    </w:lvl>
  </w:abstractNum>
  <w:abstractNum w:abstractNumId="2">
    <w:nsid w:val="E7568E9D"/>
    <w:multiLevelType w:val="singleLevel"/>
    <w:tmpl w:val="E7568E9D"/>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mY2M5ZTlmZDY0NjQzZDFiMTRmMDdmYTM1YjkzZTgifQ=="/>
  </w:docVars>
  <w:rsids>
    <w:rsidRoot w:val="006667C0"/>
    <w:rsid w:val="00086C7E"/>
    <w:rsid w:val="002A7B6A"/>
    <w:rsid w:val="00462846"/>
    <w:rsid w:val="005A014E"/>
    <w:rsid w:val="006667C0"/>
    <w:rsid w:val="006E27D7"/>
    <w:rsid w:val="00732991"/>
    <w:rsid w:val="00875CC7"/>
    <w:rsid w:val="00B02E85"/>
    <w:rsid w:val="00B9630C"/>
    <w:rsid w:val="00C37481"/>
    <w:rsid w:val="00C70B56"/>
    <w:rsid w:val="00CF605B"/>
    <w:rsid w:val="00D8145C"/>
    <w:rsid w:val="00E50F76"/>
    <w:rsid w:val="00EA60A4"/>
    <w:rsid w:val="00EE3631"/>
    <w:rsid w:val="00F74CCB"/>
    <w:rsid w:val="00FE2B59"/>
    <w:rsid w:val="03D90BBF"/>
    <w:rsid w:val="04785D93"/>
    <w:rsid w:val="04D853B7"/>
    <w:rsid w:val="07234F99"/>
    <w:rsid w:val="093C552A"/>
    <w:rsid w:val="09D7058C"/>
    <w:rsid w:val="0BEC01BE"/>
    <w:rsid w:val="0C056D3B"/>
    <w:rsid w:val="0D126849"/>
    <w:rsid w:val="0EC245E3"/>
    <w:rsid w:val="12E75C8A"/>
    <w:rsid w:val="14160E5B"/>
    <w:rsid w:val="141E5045"/>
    <w:rsid w:val="1530206E"/>
    <w:rsid w:val="15923310"/>
    <w:rsid w:val="15DC7FD1"/>
    <w:rsid w:val="16067FFB"/>
    <w:rsid w:val="16207441"/>
    <w:rsid w:val="16DF4EE1"/>
    <w:rsid w:val="17445705"/>
    <w:rsid w:val="19873EDD"/>
    <w:rsid w:val="1992391F"/>
    <w:rsid w:val="1AB0646A"/>
    <w:rsid w:val="1BE80AC2"/>
    <w:rsid w:val="1C8E189F"/>
    <w:rsid w:val="1DC91939"/>
    <w:rsid w:val="1FDF5B22"/>
    <w:rsid w:val="1FF373B0"/>
    <w:rsid w:val="209F0304"/>
    <w:rsid w:val="25B8053E"/>
    <w:rsid w:val="268465A7"/>
    <w:rsid w:val="27576953"/>
    <w:rsid w:val="276442AF"/>
    <w:rsid w:val="2BD71C68"/>
    <w:rsid w:val="2C9815C6"/>
    <w:rsid w:val="2D4673CF"/>
    <w:rsid w:val="2D4E2963"/>
    <w:rsid w:val="2DFD4212"/>
    <w:rsid w:val="2EA90211"/>
    <w:rsid w:val="2F0A11DC"/>
    <w:rsid w:val="2FA94C5C"/>
    <w:rsid w:val="30971558"/>
    <w:rsid w:val="30C20258"/>
    <w:rsid w:val="31295014"/>
    <w:rsid w:val="316929DF"/>
    <w:rsid w:val="31997D7F"/>
    <w:rsid w:val="319F624D"/>
    <w:rsid w:val="341B57A5"/>
    <w:rsid w:val="3422038F"/>
    <w:rsid w:val="359D71BF"/>
    <w:rsid w:val="35A14481"/>
    <w:rsid w:val="37200981"/>
    <w:rsid w:val="37E35CC2"/>
    <w:rsid w:val="38271B84"/>
    <w:rsid w:val="392133B7"/>
    <w:rsid w:val="39DF73E4"/>
    <w:rsid w:val="3A351D95"/>
    <w:rsid w:val="3C351AA4"/>
    <w:rsid w:val="3D270713"/>
    <w:rsid w:val="3E701A5B"/>
    <w:rsid w:val="3FAA3785"/>
    <w:rsid w:val="400C5D83"/>
    <w:rsid w:val="40D27BFA"/>
    <w:rsid w:val="40DB59E0"/>
    <w:rsid w:val="416C7BB4"/>
    <w:rsid w:val="418D23E0"/>
    <w:rsid w:val="42564D67"/>
    <w:rsid w:val="42A73D27"/>
    <w:rsid w:val="42F12E5A"/>
    <w:rsid w:val="45B60689"/>
    <w:rsid w:val="461859A2"/>
    <w:rsid w:val="488C054C"/>
    <w:rsid w:val="49BB5075"/>
    <w:rsid w:val="4A8D158C"/>
    <w:rsid w:val="4D3C37B7"/>
    <w:rsid w:val="4D932905"/>
    <w:rsid w:val="51644AB0"/>
    <w:rsid w:val="52C26DF0"/>
    <w:rsid w:val="53205E6B"/>
    <w:rsid w:val="544C6124"/>
    <w:rsid w:val="5608269A"/>
    <w:rsid w:val="56333587"/>
    <w:rsid w:val="56B31902"/>
    <w:rsid w:val="56DE25CE"/>
    <w:rsid w:val="57B77F6D"/>
    <w:rsid w:val="58F46324"/>
    <w:rsid w:val="59742FAD"/>
    <w:rsid w:val="5B0176C6"/>
    <w:rsid w:val="5B395D6B"/>
    <w:rsid w:val="5C8547A4"/>
    <w:rsid w:val="5D2D26CC"/>
    <w:rsid w:val="5E062397"/>
    <w:rsid w:val="5E31736B"/>
    <w:rsid w:val="5F2D3ECB"/>
    <w:rsid w:val="60D715B6"/>
    <w:rsid w:val="61270568"/>
    <w:rsid w:val="648D748A"/>
    <w:rsid w:val="651A3D91"/>
    <w:rsid w:val="65802AC0"/>
    <w:rsid w:val="65AF0B3C"/>
    <w:rsid w:val="65C025AF"/>
    <w:rsid w:val="679C4E28"/>
    <w:rsid w:val="68D66FCC"/>
    <w:rsid w:val="68EB34BA"/>
    <w:rsid w:val="691416B9"/>
    <w:rsid w:val="6A54640F"/>
    <w:rsid w:val="6E7558E3"/>
    <w:rsid w:val="6F7407BC"/>
    <w:rsid w:val="71F64143"/>
    <w:rsid w:val="72C66AD3"/>
    <w:rsid w:val="73B52C9B"/>
    <w:rsid w:val="750B5DE0"/>
    <w:rsid w:val="759C7A3B"/>
    <w:rsid w:val="765A4D5E"/>
    <w:rsid w:val="76F46514"/>
    <w:rsid w:val="78ED780F"/>
    <w:rsid w:val="78FF2C06"/>
    <w:rsid w:val="7A113A90"/>
    <w:rsid w:val="7BA21100"/>
    <w:rsid w:val="7D1A0005"/>
    <w:rsid w:val="7D5E28AD"/>
    <w:rsid w:val="7DBA70F9"/>
    <w:rsid w:val="7EC0586F"/>
    <w:rsid w:val="7F11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unhideWhenUsed/>
    <w:qFormat/>
    <w:uiPriority w:val="99"/>
    <w:rPr>
      <w:color w:val="0000FF"/>
      <w:u w:val="single"/>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276</Words>
  <Characters>1577</Characters>
  <Lines>13</Lines>
  <Paragraphs>3</Paragraphs>
  <TotalTime>28</TotalTime>
  <ScaleCrop>false</ScaleCrop>
  <LinksUpToDate>false</LinksUpToDate>
  <CharactersWithSpaces>1850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Desdemo</cp:lastModifiedBy>
  <dcterms:modified xsi:type="dcterms:W3CDTF">2023-07-28T10:36:48Z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63712BF5A7F54582B0066D1852A0C97D_12</vt:lpwstr>
  </property>
</Properties>
</file>