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atLeast"/>
        <w:jc w:val="center"/>
        <w:rPr>
          <w:rFonts w:ascii="仿宋_GB2312" w:hAnsi="宋体" w:eastAsia="仿宋_GB2312" w:cs="宋体"/>
          <w:kern w:val="0"/>
          <w:sz w:val="44"/>
          <w:szCs w:val="44"/>
        </w:rPr>
      </w:pPr>
      <w:r>
        <w:rPr>
          <w:rFonts w:hint="eastAsia" w:ascii="宋体" w:hAnsi="宋体"/>
          <w:sz w:val="44"/>
          <w:szCs w:val="44"/>
        </w:rPr>
        <w:t>2019年</w:t>
      </w:r>
      <w:r>
        <w:rPr>
          <w:rFonts w:hint="eastAsia" w:ascii="宋体" w:hAnsi="宋体"/>
          <w:color w:val="000000" w:themeColor="text1"/>
          <w:sz w:val="44"/>
          <w:szCs w:val="44"/>
        </w:rPr>
        <w:t>定州市财政局</w:t>
      </w:r>
      <w:r>
        <w:rPr>
          <w:rFonts w:hint="eastAsia" w:ascii="仿宋_GB2312" w:hAnsi="宋体" w:eastAsia="仿宋_GB2312" w:cs="宋体"/>
          <w:kern w:val="0"/>
          <w:sz w:val="44"/>
          <w:szCs w:val="44"/>
        </w:rPr>
        <w:t>部门预算公开有关事项的说明</w:t>
      </w:r>
    </w:p>
    <w:p>
      <w:pPr>
        <w:widowControl/>
        <w:spacing w:line="580" w:lineRule="atLeast"/>
        <w:jc w:val="center"/>
        <w:rPr>
          <w:rFonts w:ascii="仿宋_GB2312" w:hAnsi="宋体" w:eastAsia="仿宋_GB2312" w:cs="宋体"/>
          <w:kern w:val="0"/>
          <w:sz w:val="44"/>
          <w:szCs w:val="44"/>
        </w:rPr>
      </w:pPr>
    </w:p>
    <w:p>
      <w:pPr>
        <w:widowControl/>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一、部门职责、机构设置等基本情况</w:t>
      </w:r>
    </w:p>
    <w:p>
      <w:pPr>
        <w:widowControl/>
        <w:shd w:val="clear" w:color="auto" w:fill="FFFFFF"/>
        <w:spacing w:line="580" w:lineRule="exact"/>
        <w:ind w:firstLine="640" w:firstLineChars="200"/>
        <w:jc w:val="left"/>
        <w:rPr>
          <w:rFonts w:ascii="仿宋_GB2312" w:hAnsi="仿宋" w:eastAsia="仿宋_GB2312"/>
          <w:sz w:val="32"/>
          <w:szCs w:val="32"/>
        </w:rPr>
      </w:pPr>
      <w:r>
        <w:rPr>
          <w:rFonts w:hint="eastAsia" w:ascii="仿宋_GB2312" w:hAnsi="仿宋" w:eastAsia="仿宋_GB2312"/>
          <w:kern w:val="0"/>
          <w:sz w:val="32"/>
          <w:szCs w:val="32"/>
        </w:rPr>
        <w:t>1</w:t>
      </w:r>
      <w:r>
        <w:rPr>
          <w:rFonts w:hint="eastAsia" w:ascii="仿宋_GB2312" w:hAnsi="仿宋" w:eastAsia="仿宋_GB2312" w:cs="宋体"/>
          <w:kern w:val="0"/>
          <w:sz w:val="32"/>
          <w:szCs w:val="32"/>
        </w:rPr>
        <w:t>、部门职责，</w:t>
      </w:r>
      <w:r>
        <w:rPr>
          <w:rFonts w:hint="eastAsia" w:ascii="仿宋_GB2312" w:hAnsi="仿宋" w:eastAsia="仿宋_GB2312"/>
          <w:sz w:val="32"/>
          <w:szCs w:val="32"/>
        </w:rPr>
        <w:t>贯彻执行国家财政、税收的发展战略、方针、政策，根据全市国民经济和社会发展规划，拟定全市财政发展战略和中长期规划；编制全市和市本级年度财政预算草案和年度财政决算，执行市人民代表大会批准的财政预算；管理市级预算内和财政专户资金收支等项工作。</w:t>
      </w:r>
    </w:p>
    <w:p>
      <w:pPr>
        <w:jc w:val="left"/>
        <w:outlineLvl w:val="0"/>
        <w:rPr>
          <w:rFonts w:hint="eastAsia" w:ascii="仿宋_GB2312" w:hAnsi="仿宋" w:eastAsia="仿宋_GB2312"/>
          <w:sz w:val="32"/>
          <w:szCs w:val="32"/>
        </w:rPr>
      </w:pPr>
      <w:r>
        <w:rPr>
          <w:rFonts w:hint="eastAsia" w:ascii="仿宋_GB2312" w:hAnsi="仿宋" w:eastAsia="仿宋_GB2312"/>
          <w:color w:val="000000" w:themeColor="text1"/>
          <w:kern w:val="0"/>
          <w:sz w:val="32"/>
          <w:szCs w:val="32"/>
        </w:rPr>
        <w:t>2</w:t>
      </w:r>
      <w:r>
        <w:rPr>
          <w:rFonts w:hint="eastAsia" w:ascii="仿宋_GB2312" w:hAnsi="仿宋" w:eastAsia="仿宋_GB2312" w:cs="宋体"/>
          <w:color w:val="000000" w:themeColor="text1"/>
          <w:kern w:val="0"/>
          <w:sz w:val="32"/>
          <w:szCs w:val="32"/>
        </w:rPr>
        <w:t>、机构设置，</w:t>
      </w:r>
      <w:r>
        <w:rPr>
          <w:rFonts w:hint="eastAsia" w:ascii="仿宋_GB2312" w:hAnsi="仿宋" w:eastAsia="仿宋_GB2312"/>
          <w:sz w:val="32"/>
          <w:szCs w:val="32"/>
        </w:rPr>
        <w:t>市财政局是隶属于市政府的一级预算部门。局机关内设预算股、国库股等15个职能处室，下辖定州市社会保障基金审核服务中心、定州市预算编审中心</w:t>
      </w:r>
      <w:bookmarkStart w:id="0" w:name="_Toc1748668"/>
      <w:r>
        <w:rPr>
          <w:rFonts w:hint="eastAsia" w:ascii="仿宋_GB2312" w:hAnsi="仿宋" w:eastAsia="仿宋_GB2312"/>
          <w:sz w:val="32"/>
          <w:szCs w:val="32"/>
        </w:rPr>
        <w:t>、定州市政府采购服务中心、定州市非税收入管理局四个股级事业单位</w:t>
      </w:r>
    </w:p>
    <w:tbl>
      <w:tblPr>
        <w:tblStyle w:val="5"/>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584"/>
        <w:gridCol w:w="2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序号</w:t>
            </w:r>
          </w:p>
        </w:tc>
        <w:tc>
          <w:tcPr>
            <w:tcW w:w="34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单位名称</w:t>
            </w:r>
          </w:p>
        </w:tc>
        <w:tc>
          <w:tcPr>
            <w:tcW w:w="2584"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单位基本性质</w:t>
            </w:r>
          </w:p>
        </w:tc>
        <w:tc>
          <w:tcPr>
            <w:tcW w:w="2526"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1</w:t>
            </w:r>
          </w:p>
        </w:tc>
        <w:tc>
          <w:tcPr>
            <w:tcW w:w="3485" w:type="dxa"/>
            <w:vAlign w:val="top"/>
          </w:tcPr>
          <w:p>
            <w:pPr>
              <w:spacing w:after="0" w:line="560" w:lineRule="exact"/>
              <w:rPr>
                <w:rFonts w:hint="eastAsia"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lang w:eastAsia="zh-CN"/>
              </w:rPr>
              <w:t>定州市财政局</w:t>
            </w:r>
          </w:p>
        </w:tc>
        <w:tc>
          <w:tcPr>
            <w:tcW w:w="2584"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行政单位</w:t>
            </w:r>
          </w:p>
        </w:tc>
        <w:tc>
          <w:tcPr>
            <w:tcW w:w="2526"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2</w:t>
            </w:r>
          </w:p>
        </w:tc>
        <w:tc>
          <w:tcPr>
            <w:tcW w:w="3485" w:type="dxa"/>
            <w:vAlign w:val="top"/>
          </w:tcPr>
          <w:p>
            <w:pPr>
              <w:spacing w:after="0" w:line="560" w:lineRule="exact"/>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定州市社会保障基金审核服务中心</w:t>
            </w:r>
          </w:p>
        </w:tc>
        <w:tc>
          <w:tcPr>
            <w:tcW w:w="2584"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highlight w:val="none"/>
              </w:rPr>
              <w:t>财政补助事业单位</w:t>
            </w:r>
          </w:p>
        </w:tc>
        <w:tc>
          <w:tcPr>
            <w:tcW w:w="2526"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3</w:t>
            </w:r>
          </w:p>
        </w:tc>
        <w:tc>
          <w:tcPr>
            <w:tcW w:w="3485" w:type="dxa"/>
            <w:vAlign w:val="top"/>
          </w:tcPr>
          <w:p>
            <w:pPr>
              <w:spacing w:after="0" w:line="560" w:lineRule="exact"/>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定州市预算编审中心</w:t>
            </w:r>
          </w:p>
        </w:tc>
        <w:tc>
          <w:tcPr>
            <w:tcW w:w="2584"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highlight w:val="none"/>
              </w:rPr>
              <w:t>财政补助事业单位</w:t>
            </w:r>
          </w:p>
        </w:tc>
        <w:tc>
          <w:tcPr>
            <w:tcW w:w="2526" w:type="dxa"/>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85" w:type="dxa"/>
            <w:tcBorders>
              <w:bottom w:val="single" w:color="auto" w:sz="4" w:space="0"/>
            </w:tcBorders>
            <w:vAlign w:val="top"/>
          </w:tcPr>
          <w:p>
            <w:pPr>
              <w:spacing w:after="0" w:line="560" w:lineRule="exact"/>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4</w:t>
            </w:r>
          </w:p>
        </w:tc>
        <w:tc>
          <w:tcPr>
            <w:tcW w:w="3485" w:type="dxa"/>
            <w:tcBorders>
              <w:bottom w:val="single" w:color="auto" w:sz="4" w:space="0"/>
            </w:tcBorders>
            <w:vAlign w:val="top"/>
          </w:tcPr>
          <w:p>
            <w:pPr>
              <w:spacing w:after="0" w:line="560" w:lineRule="exact"/>
              <w:rPr>
                <w:rFonts w:hint="eastAsia"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lang w:eastAsia="zh-CN"/>
              </w:rPr>
              <w:t>定州市政府采购服务中心</w:t>
            </w:r>
          </w:p>
        </w:tc>
        <w:tc>
          <w:tcPr>
            <w:tcW w:w="2584" w:type="dxa"/>
            <w:tcBorders>
              <w:bottom w:val="single" w:color="auto" w:sz="4" w:space="0"/>
            </w:tcBorders>
            <w:vAlign w:val="top"/>
          </w:tcPr>
          <w:p>
            <w:pPr>
              <w:spacing w:after="0" w:line="560" w:lineRule="exact"/>
              <w:jc w:val="center"/>
              <w:rPr>
                <w:rFonts w:hint="eastAsia"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highlight w:val="none"/>
              </w:rPr>
              <w:t>财政补助事业单位</w:t>
            </w:r>
          </w:p>
        </w:tc>
        <w:tc>
          <w:tcPr>
            <w:tcW w:w="2526" w:type="dxa"/>
            <w:tcBorders>
              <w:bottom w:val="single" w:color="auto" w:sz="4" w:space="0"/>
            </w:tcBorders>
            <w:vAlign w:val="top"/>
          </w:tcPr>
          <w:p>
            <w:pPr>
              <w:spacing w:after="0" w:line="560" w:lineRule="exact"/>
              <w:jc w:val="center"/>
              <w:rPr>
                <w:rFonts w:hint="eastAsia"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85" w:type="dxa"/>
            <w:tcBorders>
              <w:bottom w:val="single" w:color="auto" w:sz="4" w:space="0"/>
            </w:tcBorders>
            <w:vAlign w:val="top"/>
          </w:tcPr>
          <w:p>
            <w:pPr>
              <w:spacing w:after="0" w:line="560" w:lineRule="exact"/>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rPr>
              <w:t>5</w:t>
            </w:r>
          </w:p>
        </w:tc>
        <w:tc>
          <w:tcPr>
            <w:tcW w:w="3485" w:type="dxa"/>
            <w:tcBorders>
              <w:bottom w:val="single" w:color="auto" w:sz="4" w:space="0"/>
            </w:tcBorders>
            <w:vAlign w:val="top"/>
          </w:tcPr>
          <w:p>
            <w:pPr>
              <w:spacing w:after="0" w:line="560" w:lineRule="exact"/>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定州市非税收入管理局</w:t>
            </w:r>
          </w:p>
        </w:tc>
        <w:tc>
          <w:tcPr>
            <w:tcW w:w="2584" w:type="dxa"/>
            <w:tcBorders>
              <w:bottom w:val="single" w:color="auto" w:sz="4" w:space="0"/>
            </w:tcBorders>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经费自理事业单位</w:t>
            </w:r>
          </w:p>
        </w:tc>
        <w:tc>
          <w:tcPr>
            <w:tcW w:w="2526" w:type="dxa"/>
            <w:tcBorders>
              <w:bottom w:val="single" w:color="auto" w:sz="4" w:space="0"/>
            </w:tcBorders>
            <w:vAlign w:val="top"/>
          </w:tcPr>
          <w:p>
            <w:pPr>
              <w:spacing w:after="0" w:line="560" w:lineRule="exact"/>
              <w:jc w:val="center"/>
              <w:rPr>
                <w:rFonts w:ascii="仿宋_GB2312" w:eastAsia="仿宋_GB2312" w:cs="ArialUnicodeMS" w:hAnsiTheme="minorHAnsi"/>
                <w:kern w:val="0"/>
                <w:sz w:val="28"/>
                <w:szCs w:val="28"/>
                <w:lang w:val="en-US" w:eastAsia="zh-CN" w:bidi="ar-SA"/>
              </w:rPr>
            </w:pPr>
            <w:r>
              <w:rPr>
                <w:rFonts w:hint="eastAsia" w:ascii="仿宋_GB2312" w:eastAsia="仿宋_GB2312" w:cs="ArialUnicodeMS" w:hAnsiTheme="minorHAnsi"/>
                <w:kern w:val="0"/>
                <w:sz w:val="28"/>
                <w:szCs w:val="28"/>
              </w:rPr>
              <w:t>财政拨款</w:t>
            </w:r>
          </w:p>
        </w:tc>
      </w:tr>
    </w:tbl>
    <w:p>
      <w:pPr>
        <w:jc w:val="left"/>
        <w:outlineLvl w:val="0"/>
        <w:rPr>
          <w:rFonts w:hint="eastAsia" w:ascii="仿宋_GB2312" w:hAnsi="仿宋" w:eastAsia="仿宋_GB2312"/>
          <w:sz w:val="32"/>
          <w:szCs w:val="32"/>
        </w:rPr>
      </w:pPr>
    </w:p>
    <w:bookmarkEnd w:id="0"/>
    <w:p>
      <w:pPr>
        <w:widowControl/>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二、部门预算安排总体情况</w:t>
      </w:r>
    </w:p>
    <w:p>
      <w:pPr>
        <w:spacing w:line="580" w:lineRule="exact"/>
        <w:ind w:firstLine="640" w:firstLineChars="200"/>
        <w:jc w:val="left"/>
        <w:rPr>
          <w:rFonts w:ascii="仿宋_GB2312" w:hAnsi="仿宋" w:eastAsia="仿宋_GB2312"/>
          <w:color w:val="000000"/>
          <w:sz w:val="32"/>
          <w:szCs w:val="32"/>
        </w:rPr>
      </w:pPr>
      <w:r>
        <w:rPr>
          <w:rFonts w:hint="eastAsia" w:ascii="仿宋_GB2312" w:hAnsi="仿宋" w:eastAsia="仿宋_GB2312"/>
          <w:sz w:val="32"/>
          <w:szCs w:val="32"/>
        </w:rPr>
        <w:t>1、部门</w:t>
      </w:r>
      <w:r>
        <w:rPr>
          <w:rFonts w:hint="eastAsia" w:ascii="仿宋_GB2312" w:hAnsi="仿宋" w:eastAsia="仿宋_GB2312"/>
          <w:color w:val="000000"/>
          <w:sz w:val="32"/>
          <w:szCs w:val="32"/>
        </w:rPr>
        <w:t>本年收入总额2051.43万元。其中：一般公共预算2051.43万元（财政拨款2051.43万元）。</w:t>
      </w:r>
    </w:p>
    <w:p>
      <w:pPr>
        <w:spacing w:line="580" w:lineRule="exact"/>
        <w:ind w:firstLine="640" w:firstLineChars="200"/>
        <w:jc w:val="left"/>
        <w:rPr>
          <w:rFonts w:ascii="仿宋_GB2312" w:hAnsi="仿宋" w:eastAsia="仿宋_GB2312"/>
          <w:color w:val="000000"/>
          <w:sz w:val="32"/>
          <w:szCs w:val="32"/>
        </w:rPr>
      </w:pPr>
      <w:r>
        <w:rPr>
          <w:rFonts w:hint="eastAsia" w:ascii="仿宋_GB2312" w:hAnsi="仿宋" w:eastAsia="仿宋_GB2312"/>
          <w:color w:val="000000"/>
          <w:sz w:val="32"/>
          <w:szCs w:val="32"/>
        </w:rPr>
        <w:t>2、部门本年支出总额2051.43万元。其中：基本支出988.69万元，项目支出1062.74万元。</w:t>
      </w:r>
    </w:p>
    <w:p>
      <w:pPr>
        <w:spacing w:line="580" w:lineRule="exact"/>
        <w:ind w:firstLine="640" w:firstLineChars="200"/>
        <w:jc w:val="left"/>
        <w:rPr>
          <w:rFonts w:ascii="仿宋_GB2312" w:hAnsi="仿宋" w:eastAsia="仿宋_GB2312"/>
          <w:color w:val="000000"/>
          <w:sz w:val="32"/>
          <w:szCs w:val="32"/>
        </w:rPr>
      </w:pPr>
      <w:r>
        <w:rPr>
          <w:rFonts w:hint="eastAsia" w:ascii="仿宋_GB2312" w:hAnsi="仿宋" w:eastAsia="仿宋_GB2312"/>
          <w:color w:val="000000"/>
          <w:sz w:val="32"/>
          <w:szCs w:val="32"/>
        </w:rPr>
        <w:t>3、增减变化情况与去年相比一般公共预算收支增加76.28万元，减少的原因主要是厉行节约减少基本支出。</w:t>
      </w:r>
    </w:p>
    <w:p>
      <w:pPr>
        <w:widowControl/>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三、机关运行经费安排情况</w:t>
      </w:r>
    </w:p>
    <w:p>
      <w:pPr>
        <w:spacing w:line="580" w:lineRule="exact"/>
        <w:ind w:firstLine="640" w:firstLineChars="200"/>
        <w:jc w:val="left"/>
        <w:rPr>
          <w:rFonts w:ascii="仿宋_GB2312" w:hAnsi="仿宋" w:eastAsia="仿宋_GB2312"/>
          <w:color w:val="000000"/>
          <w:sz w:val="32"/>
          <w:szCs w:val="32"/>
        </w:rPr>
      </w:pPr>
      <w:r>
        <w:rPr>
          <w:rFonts w:hint="eastAsia" w:ascii="仿宋_GB2312" w:hAnsi="仿宋" w:eastAsia="仿宋_GB2312"/>
          <w:color w:val="000000"/>
          <w:sz w:val="32"/>
          <w:szCs w:val="32"/>
        </w:rPr>
        <w:t>我部门安排机关运行经费75.8万元，其中：办公费12.04万元、水费0.6万元、电费7万元、邮电费0.6万元、取暖费9.96万元、差旅费9.5万元、会议费0.8万元、培训费0.5万元。</w:t>
      </w:r>
    </w:p>
    <w:p>
      <w:pPr>
        <w:widowControl/>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四、财政拨款“三公”经费预算情况</w:t>
      </w:r>
    </w:p>
    <w:p>
      <w:pPr>
        <w:autoSpaceDE w:val="0"/>
        <w:autoSpaceDN w:val="0"/>
        <w:adjustRightInd w:val="0"/>
        <w:spacing w:line="580" w:lineRule="exact"/>
        <w:ind w:firstLine="720" w:firstLineChars="225"/>
        <w:jc w:val="left"/>
        <w:rPr>
          <w:rFonts w:hint="eastAsia" w:ascii="仿宋_GB2312" w:hAnsi="仿宋" w:eastAsia="仿宋_GB2312"/>
          <w:color w:val="000000"/>
          <w:sz w:val="32"/>
          <w:szCs w:val="32"/>
        </w:rPr>
      </w:pPr>
      <w:r>
        <w:rPr>
          <w:rFonts w:hint="eastAsia" w:ascii="仿宋_GB2312" w:hAnsi="Times New Roman" w:eastAsia="仿宋_GB2312"/>
          <w:kern w:val="0"/>
          <w:sz w:val="32"/>
          <w:szCs w:val="32"/>
        </w:rPr>
        <w:t>我部门财政拨款“三公”经费预算1.8万元,其中:一般公共预算1.8万元、政府性基金预算0万元、国有资本经营预算0万元和财政专户核拨资金0万元）。</w:t>
      </w:r>
      <w:r>
        <w:rPr>
          <w:rFonts w:hint="eastAsia" w:ascii="仿宋_GB2312" w:hAnsi="仿宋" w:eastAsia="仿宋_GB2312"/>
          <w:color w:val="000000"/>
          <w:sz w:val="32"/>
          <w:szCs w:val="32"/>
        </w:rPr>
        <w:t>因公出国（境）费安排0万元，与去年预算相比无变化；公务用车购置及运行费0万元(公务用车购置0万元、公务用车运行费0万元) ，与去年预算相比无变化；公务接待费1.8万元，与去年预算相比减少0.2万元。减少原因：厉行节约。</w:t>
      </w:r>
    </w:p>
    <w:p>
      <w:pPr>
        <w:autoSpaceDE w:val="0"/>
        <w:autoSpaceDN w:val="0"/>
        <w:adjustRightInd w:val="0"/>
        <w:spacing w:line="580" w:lineRule="exact"/>
        <w:ind w:firstLine="720" w:firstLineChars="225"/>
        <w:jc w:val="left"/>
        <w:rPr>
          <w:rFonts w:hint="eastAsia" w:ascii="仿宋_GB2312" w:hAnsi="仿宋" w:eastAsia="仿宋_GB2312"/>
          <w:color w:val="000000"/>
          <w:sz w:val="32"/>
          <w:szCs w:val="32"/>
        </w:rPr>
      </w:pPr>
    </w:p>
    <w:p>
      <w:pPr>
        <w:widowControl/>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五、绩效预算信息情况</w:t>
      </w:r>
    </w:p>
    <w:p>
      <w:pPr>
        <w:autoSpaceDE w:val="0"/>
        <w:autoSpaceDN w:val="0"/>
        <w:adjustRightInd w:val="0"/>
        <w:spacing w:line="580" w:lineRule="exact"/>
        <w:ind w:firstLine="720" w:firstLineChars="225"/>
        <w:jc w:val="left"/>
        <w:rPr>
          <w:rFonts w:ascii="仿宋_GB2312" w:hAnsi="仿宋" w:eastAsia="仿宋_GB2312"/>
          <w:sz w:val="32"/>
          <w:szCs w:val="32"/>
        </w:rPr>
      </w:pPr>
      <w:r>
        <w:rPr>
          <w:rFonts w:hint="eastAsia" w:ascii="仿宋_GB2312" w:hAnsi="仿宋" w:eastAsia="仿宋_GB2312"/>
          <w:sz w:val="32"/>
          <w:szCs w:val="32"/>
        </w:rPr>
        <w:t>为深化财政管理体制改革，加强和规范部门预算管理，增强预算部门及项目单位支出绩效意识，提高财政资金使用效益，2019 年我单位认真贯彻落实上级有关文件精神，积极开展预算绩效管理工作，现将有关情况说明如下：</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(一)大力推动财政改革落地。</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一是全面落实绩效预算管理新机制.完善本级“部门职责—工作活动”目录和项目支出指标体系，建立健全制度体系和工作流程，确保各项改革要求落实到位。加快建立预算部门绩效自评和财政部门绩效评价相结合的绩效评价工作机制，全面提升绩效评价工作质量和水平。二是扎实推进财政体制改革。推进财政事权和支出责任划分改革，进一步完善财力性转移支付制度。</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（二）大力确保财政平稳运行。</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一是加强组织收入。按照“以旬保月、以月保季、以季保年”要求，科学筹划，加强调度，确保圆满完成既定目标任务。二是强化综合治税功能，以优化环境促进市场公平为着眼点，开展专项清理，加强税源监管，严防“跑冒滴漏”，确保应收尽；规范非税收入管理，正确处理好保任务与提质量的关系，坚决杜绝虚收空转。</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（三） 大力加强基层财政建设。</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一是规县乡财政管理。强化业务培训，加强督导检查，全面落实《河北省县级财政预算管理业务规程》和《河北省乡镇财政业务工作规程》，提升预算管理和乡镇财政业务工作水平。二是加强县级财政信息化建设。以解决硬件基础设施薄弱环节为着力点，实现“云管端”一体化；以推广应用县乡一体化财政业务软件为重心，实现业务应用一体化；以统建统管为手段，实现建设管理一体化，努力提高县乡财政信息化应用水平。三是强化基层财政队伍建设。督促各地进一步理顺财政职能，完善基层财政组织框架，充实人员力量；积极推进标准化绩效管理，完善内部管理机制，激发干部队伍动力活力，提高干部队伍素质能力。</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2019年主要工作：</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1、外聘第三方中介费用，为保障我单位评审工作顺利进行，聘请第三方进行评审工作，我单位将加大对财政投资项目评审工作管理，做好财政评审中心人员管理工作。保障评价审查和专项资金核查完成率。</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2、会计专业资格考试工作，做好会计职称考试工作，及时组织好会计职称考试管理工作。使会计资格考试平稳有序进行，不能发生重大责任事故。</w:t>
      </w:r>
    </w:p>
    <w:p>
      <w:pPr>
        <w:autoSpaceDE w:val="0"/>
        <w:autoSpaceDN w:val="0"/>
        <w:adjustRightInd w:val="0"/>
        <w:spacing w:line="58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3、农村财会人员培训工作，及时对财务人员进行培训，提高我市行政事业单位财务管理水平，规范单位财务管理，纠正财经领域各种违纪行为，加强绩效目标和绩效评价工作的顺利进行。</w:t>
      </w:r>
    </w:p>
    <w:p>
      <w:pPr>
        <w:outlineLvl w:val="0"/>
        <w:rPr>
          <w:rFonts w:ascii="方正小标宋_GBK" w:eastAsia="方正小标宋_GBK"/>
          <w:sz w:val="32"/>
        </w:rPr>
        <w:sectPr>
          <w:pgSz w:w="11906" w:h="16838"/>
          <w:pgMar w:top="1440" w:right="1797" w:bottom="1440" w:left="1797" w:header="851" w:footer="992" w:gutter="0"/>
          <w:cols w:space="425" w:num="1"/>
          <w:docGrid w:type="linesAndChars" w:linePitch="312" w:charSpace="0"/>
        </w:sectPr>
      </w:pPr>
      <w:bookmarkStart w:id="1" w:name="_Toc442339012"/>
    </w:p>
    <w:p>
      <w:pPr>
        <w:jc w:val="center"/>
        <w:outlineLvl w:val="0"/>
        <w:rPr>
          <w:rFonts w:ascii="方正小标宋_GBK"/>
          <w:sz w:val="32"/>
        </w:rPr>
      </w:pPr>
      <w:r>
        <w:rPr>
          <w:rFonts w:hint="eastAsia" w:ascii="方正小标宋_GBK" w:eastAsia="方正小标宋_GBK"/>
          <w:sz w:val="32"/>
        </w:rPr>
        <w:t>部门职责-工作活动绩效目标</w:t>
      </w:r>
      <w:bookmarkEnd w:id="1"/>
    </w:p>
    <w:p>
      <w:pPr>
        <w:jc w:val="right"/>
        <w:outlineLvl w:val="0"/>
        <w:rPr>
          <w:rFonts w:ascii="方正小标宋_GBK"/>
          <w:szCs w:val="21"/>
        </w:rPr>
      </w:pPr>
      <w:r>
        <w:rPr>
          <w:rFonts w:hint="eastAsia" w:ascii="方正小标宋_GBK"/>
          <w:szCs w:val="21"/>
        </w:rPr>
        <w:t>单位：万元</w:t>
      </w:r>
    </w:p>
    <w:p>
      <w:pPr>
        <w:spacing w:line="300" w:lineRule="exact"/>
        <w:jc w:val="left"/>
        <w:outlineLvl w:val="0"/>
      </w:pPr>
    </w:p>
    <w:tbl>
      <w:tblPr>
        <w:tblStyle w:val="4"/>
        <w:tblW w:w="1393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continue"/>
            <w:shd w:val="clear" w:color="auto" w:fill="auto"/>
            <w:vAlign w:val="center"/>
          </w:tcPr>
          <w:p>
            <w:pPr>
              <w:spacing w:line="300" w:lineRule="exact"/>
              <w:jc w:val="left"/>
              <w:outlineLvl w:val="0"/>
            </w:pPr>
          </w:p>
        </w:tc>
        <w:tc>
          <w:tcPr>
            <w:tcW w:w="12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2976" w:type="dxa"/>
            <w:vMerge w:val="continue"/>
            <w:shd w:val="clear" w:color="auto" w:fill="auto"/>
            <w:vAlign w:val="center"/>
          </w:tcPr>
          <w:p>
            <w:pPr>
              <w:spacing w:line="300" w:lineRule="exact"/>
              <w:jc w:val="left"/>
              <w:outlineLvl w:val="0"/>
            </w:pPr>
          </w:p>
        </w:tc>
        <w:tc>
          <w:tcPr>
            <w:tcW w:w="1417" w:type="dxa"/>
            <w:vMerge w:val="continue"/>
            <w:shd w:val="clear" w:color="auto" w:fill="auto"/>
            <w:vAlign w:val="center"/>
          </w:tcPr>
          <w:p>
            <w:pPr>
              <w:spacing w:line="300" w:lineRule="exact"/>
              <w:jc w:val="left"/>
              <w:outlineLvl w:val="0"/>
            </w:pP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center"/>
              <w:rPr>
                <w:rFonts w:ascii="方正书宋_GBK" w:eastAsia="方正书宋_GBK"/>
                <w:b/>
              </w:rPr>
            </w:pPr>
            <w:r>
              <w:rPr>
                <w:rFonts w:ascii="方正书宋_GBK" w:eastAsia="方正书宋_GBK"/>
              </w:rPr>
              <w:t>2019</w:t>
            </w:r>
            <w:r>
              <w:rPr>
                <w:rFonts w:hint="eastAsia" w:ascii="方正书宋_GBK" w:eastAsia="方正书宋_GBK"/>
              </w:rPr>
              <w:t>年会计专业资格考试考务费补助资金</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7.00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做好会计职称考试工作，及时组织好会计职称考试管理工作。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会计考试工作顺利进行</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会计资格考试平稳有序进行，不能发生重大责任事故</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0次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1次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2次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3次及以上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37"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2</w:t>
            </w:r>
            <w:r>
              <w:rPr>
                <w:rFonts w:hint="eastAsia" w:ascii="方正书宋_GBK" w:eastAsia="方正书宋_GBK"/>
              </w:rPr>
              <w:t>、外聘第三方中介费用</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118.00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财政评审工作：加大对财政投资项目评审工作管理，做好财政评审中心人员管理工作。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财政评审工作：加大对财政投资项目评审工作管理，做好财政评审中心人员管理工作。</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评价审查和专项资金核查完成率</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3</w:t>
            </w:r>
            <w:r>
              <w:rPr>
                <w:rFonts w:hint="eastAsia" w:ascii="方正书宋_GBK" w:eastAsia="方正书宋_GBK"/>
              </w:rPr>
              <w:t>、财政专项业务费</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60.00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做好财政专项业务工作，加强财政专项业务工作管理。</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保证财政专项业务顺利进行</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保证财政专项业务顺利进行</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4</w:t>
            </w:r>
            <w:r>
              <w:rPr>
                <w:rFonts w:hint="eastAsia" w:ascii="方正书宋_GBK" w:eastAsia="方正书宋_GBK"/>
              </w:rPr>
              <w:t>、退役士官人员经费</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8.54</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做好退役士官人员工资拨付工作，做好退役士官人员管理工作。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保障人员稳定</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保障财政工作顺利进行</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5</w:t>
            </w:r>
            <w:r>
              <w:rPr>
                <w:rFonts w:hint="eastAsia" w:ascii="方正书宋_GBK" w:eastAsia="方正书宋_GBK"/>
              </w:rPr>
              <w:t>、招商引资工作经费</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10.00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做好招商引资工作，促进我市经济发展</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做好招商引资工作，促进我市经济发展</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做好招商引资工作，促进我市经济发展</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6</w:t>
            </w:r>
            <w:r>
              <w:rPr>
                <w:rFonts w:hint="eastAsia" w:ascii="方正书宋_GBK" w:eastAsia="方正书宋_GBK"/>
              </w:rPr>
              <w:t>、票据工本费上解</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30.00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财政票据管理：做好财政票据印制工作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票据印制及时准确，不出现错误。</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票据印制及时准确，不出现错误。</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7</w:t>
            </w:r>
            <w:r>
              <w:rPr>
                <w:rFonts w:hint="eastAsia" w:ascii="方正书宋_GBK" w:eastAsia="方正书宋_GBK"/>
              </w:rPr>
              <w:t>、职称报名考务费</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30.00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做好会计职称考试工作，及时组织好会计职称考试管理工作。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会计考试工作顺利进行</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会计资格考试平稳有序进行，不能发生重大责任事故</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0次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1次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2次</w:t>
            </w:r>
          </w:p>
        </w:tc>
        <w:tc>
          <w:tcPr>
            <w:tcW w:w="737" w:type="dxa"/>
            <w:shd w:val="clear" w:color="auto" w:fill="auto"/>
            <w:vAlign w:val="center"/>
          </w:tcPr>
          <w:p>
            <w:pPr>
              <w:spacing w:line="300" w:lineRule="exact"/>
              <w:jc w:val="center"/>
              <w:rPr>
                <w:rFonts w:ascii="方正书宋_GBK" w:eastAsia="方正书宋_GBK"/>
              </w:rPr>
            </w:pPr>
            <w:r>
              <w:rPr>
                <w:rFonts w:hint="eastAsia" w:ascii="方正书宋_GBK" w:eastAsia="方正书宋_GBK"/>
              </w:rPr>
              <w:t>3次及以上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8</w:t>
            </w:r>
            <w:r>
              <w:rPr>
                <w:rFonts w:hint="eastAsia" w:ascii="方正书宋_GBK" w:eastAsia="方正书宋_GBK"/>
              </w:rPr>
              <w:t>、评审中心人员费用</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31.00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做好评审中心人员工资拨付工作，做好财政评审中心人员管理工作。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保障评审工作顺利进行</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保障人员稳定，评审工作顺利进行</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9</w:t>
            </w:r>
            <w:r>
              <w:rPr>
                <w:rFonts w:hint="eastAsia" w:ascii="方正书宋_GBK" w:eastAsia="方正书宋_GBK"/>
              </w:rPr>
              <w:t>、会计专业技术资格考试考场建设</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45.00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做好考试考场建设工作，保障会计职称考试顺利进行。</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会计考试工作顺利进行</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会计考试工作顺利进行</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10</w:t>
            </w:r>
            <w:r>
              <w:rPr>
                <w:rFonts w:hint="eastAsia" w:ascii="方正书宋_GBK" w:eastAsia="方正书宋_GBK"/>
              </w:rPr>
              <w:t>、非税人员经费</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696.20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做好非税人员工资拨付工作，做好财政非税人员管理工作。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保障财政工作顺利进行</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保障人员稳定，财政工作顺利进行</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11</w:t>
            </w:r>
            <w:r>
              <w:rPr>
                <w:rFonts w:hint="eastAsia" w:ascii="方正书宋_GBK" w:eastAsia="方正书宋_GBK"/>
              </w:rPr>
              <w:t>、事业单位车辆处置经费</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10.00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做好事业单位车辆处置工作，例行公车改革，减少经费支出</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厉行节约，减少经费支出</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厉行节约，减少经费支出</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　　</w:t>
            </w:r>
            <w:r>
              <w:rPr>
                <w:rFonts w:ascii="方正书宋_GBK" w:eastAsia="方正书宋_GBK"/>
              </w:rPr>
              <w:t>12</w:t>
            </w:r>
            <w:r>
              <w:rPr>
                <w:rFonts w:hint="eastAsia" w:ascii="方正书宋_GBK" w:eastAsia="方正书宋_GBK"/>
              </w:rPr>
              <w:t>、</w:t>
            </w:r>
            <w:r>
              <w:rPr>
                <w:rFonts w:ascii="方正书宋_GBK" w:eastAsia="方正书宋_GBK"/>
              </w:rPr>
              <w:t>2019</w:t>
            </w:r>
            <w:r>
              <w:rPr>
                <w:rFonts w:hint="eastAsia" w:ascii="方正书宋_GBK" w:eastAsia="方正书宋_GBK"/>
              </w:rPr>
              <w:t>年农村财会人员培训</w:t>
            </w:r>
          </w:p>
        </w:tc>
        <w:tc>
          <w:tcPr>
            <w:tcW w:w="1276" w:type="dxa"/>
            <w:shd w:val="clear" w:color="auto" w:fill="auto"/>
            <w:vAlign w:val="center"/>
          </w:tcPr>
          <w:p>
            <w:pPr>
              <w:spacing w:line="300" w:lineRule="exact"/>
              <w:jc w:val="right"/>
              <w:rPr>
                <w:rFonts w:ascii="方正书宋_GBK" w:eastAsia="方正书宋_GBK"/>
              </w:rPr>
            </w:pPr>
            <w:r>
              <w:rPr>
                <w:rFonts w:ascii="方正书宋_GBK" w:eastAsia="方正书宋_GBK"/>
              </w:rPr>
              <w:t>17.00</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做好全市市直单位，以及乡镇村财会人员培训工作，</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财会人员加强新制度的学习，更好的完成财务工作</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做好全市市直单位，以及乡镇村财会人员培训工作</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0" w:hRule="atLeast"/>
          <w:jc w:val="center"/>
        </w:trPr>
        <w:tc>
          <w:tcPr>
            <w:tcW w:w="2341"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13、人员经费</w:t>
            </w:r>
          </w:p>
        </w:tc>
        <w:tc>
          <w:tcPr>
            <w:tcW w:w="1276" w:type="dxa"/>
            <w:shd w:val="clear" w:color="auto" w:fill="auto"/>
            <w:vAlign w:val="center"/>
          </w:tcPr>
          <w:p>
            <w:pPr>
              <w:spacing w:line="300" w:lineRule="exact"/>
              <w:jc w:val="center"/>
              <w:rPr>
                <w:rFonts w:ascii="方正书宋_GBK"/>
              </w:rPr>
            </w:pPr>
            <w:r>
              <w:rPr>
                <w:rFonts w:hint="eastAsia" w:ascii="方正书宋_GBK"/>
              </w:rPr>
              <w:t>988.69</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及时拨付工资、保险，保障人员稳定</w:t>
            </w:r>
          </w:p>
        </w:tc>
        <w:tc>
          <w:tcPr>
            <w:tcW w:w="2976"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及时拨付工资、保险，保障人员稳定</w:t>
            </w:r>
          </w:p>
        </w:tc>
        <w:tc>
          <w:tcPr>
            <w:tcW w:w="1417" w:type="dxa"/>
            <w:shd w:val="clear" w:color="auto" w:fill="auto"/>
            <w:vAlign w:val="center"/>
          </w:tcPr>
          <w:p>
            <w:pPr>
              <w:spacing w:line="300" w:lineRule="exact"/>
              <w:jc w:val="left"/>
              <w:rPr>
                <w:rFonts w:ascii="方正书宋_GBK" w:eastAsia="方正书宋_GBK"/>
              </w:rPr>
            </w:pPr>
            <w:r>
              <w:rPr>
                <w:rFonts w:hint="eastAsia" w:ascii="方正书宋_GBK" w:eastAsia="方正书宋_GBK"/>
              </w:rPr>
              <w:t>及时拨付工资、保险，保障人员稳定</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[75%,100%]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[70%,75%)</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[65%,70%)</w:t>
            </w:r>
          </w:p>
        </w:tc>
        <w:tc>
          <w:tcPr>
            <w:tcW w:w="737" w:type="dxa"/>
            <w:shd w:val="clear" w:color="auto" w:fill="auto"/>
            <w:vAlign w:val="center"/>
          </w:tcPr>
          <w:p>
            <w:pPr>
              <w:spacing w:line="300" w:lineRule="exact"/>
              <w:jc w:val="center"/>
              <w:rPr>
                <w:rFonts w:ascii="方正书宋_GBK" w:eastAsia="方正书宋_GBK"/>
              </w:rPr>
            </w:pPr>
            <w:r>
              <w:rPr>
                <w:rFonts w:ascii="方正书宋_GBK" w:eastAsia="方正书宋_GBK"/>
              </w:rPr>
              <w:t>[0,65%)</w:t>
            </w:r>
          </w:p>
        </w:tc>
      </w:tr>
    </w:tbl>
    <w:p>
      <w:pPr>
        <w:widowControl/>
        <w:shd w:val="clear" w:color="auto" w:fill="FFFFFF"/>
        <w:spacing w:line="580" w:lineRule="exact"/>
        <w:ind w:firstLine="640" w:firstLineChars="200"/>
        <w:jc w:val="left"/>
        <w:rPr>
          <w:rFonts w:ascii="黑体" w:hAnsi="黑体" w:eastAsia="黑体" w:cs="宋体"/>
          <w:kern w:val="0"/>
          <w:sz w:val="32"/>
          <w:szCs w:val="32"/>
        </w:rPr>
        <w:sectPr>
          <w:pgSz w:w="16838" w:h="11906" w:orient="landscape"/>
          <w:pgMar w:top="1797" w:right="1440" w:bottom="1797" w:left="1440" w:header="851" w:footer="992" w:gutter="0"/>
          <w:cols w:space="425" w:num="1"/>
          <w:docGrid w:type="lines" w:linePitch="312" w:charSpace="0"/>
        </w:sectPr>
      </w:pPr>
    </w:p>
    <w:p>
      <w:pPr>
        <w:widowControl/>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六、政府采购预算情况</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20</w:t>
      </w:r>
      <w:r>
        <w:rPr>
          <w:rFonts w:hint="eastAsia" w:ascii="仿宋_GB2312" w:hAnsi="Times New Roman" w:eastAsia="仿宋_GB2312"/>
          <w:kern w:val="0"/>
          <w:sz w:val="32"/>
          <w:szCs w:val="32"/>
          <w:lang w:val="en-US" w:eastAsia="zh-CN"/>
        </w:rPr>
        <w:t>19</w:t>
      </w:r>
      <w:r>
        <w:rPr>
          <w:rFonts w:hint="eastAsia" w:ascii="仿宋_GB2312" w:hAnsi="Times New Roman" w:eastAsia="仿宋_GB2312"/>
          <w:kern w:val="0"/>
          <w:sz w:val="32"/>
          <w:szCs w:val="32"/>
        </w:rPr>
        <w:t>年，定州市</w:t>
      </w:r>
      <w:r>
        <w:rPr>
          <w:rFonts w:hint="eastAsia" w:ascii="仿宋_GB2312" w:hAnsi="Times New Roman" w:eastAsia="仿宋_GB2312"/>
          <w:kern w:val="0"/>
          <w:sz w:val="32"/>
          <w:szCs w:val="32"/>
          <w:lang w:eastAsia="zh-CN"/>
        </w:rPr>
        <w:t>财政局</w:t>
      </w:r>
      <w:r>
        <w:rPr>
          <w:rFonts w:hint="eastAsia" w:ascii="仿宋_GB2312" w:hAnsi="Times New Roman" w:eastAsia="仿宋_GB2312"/>
          <w:kern w:val="0"/>
          <w:sz w:val="32"/>
          <w:szCs w:val="32"/>
        </w:rPr>
        <w:t>安排政府采购预算</w:t>
      </w:r>
      <w:r>
        <w:rPr>
          <w:rFonts w:hint="eastAsia" w:ascii="仿宋_GB2312" w:hAnsi="Times New Roman" w:eastAsia="仿宋_GB2312"/>
          <w:kern w:val="0"/>
          <w:sz w:val="32"/>
          <w:szCs w:val="32"/>
          <w:lang w:val="en-US" w:eastAsia="zh-CN"/>
        </w:rPr>
        <w:t>0</w:t>
      </w:r>
      <w:r>
        <w:rPr>
          <w:rFonts w:hint="eastAsia" w:ascii="仿宋_GB2312" w:hAnsi="Times New Roman" w:eastAsia="仿宋_GB2312"/>
          <w:kern w:val="0"/>
          <w:sz w:val="32"/>
          <w:szCs w:val="32"/>
        </w:rPr>
        <w:t>万元。具体内容见下表。</w:t>
      </w:r>
    </w:p>
    <w:p>
      <w:pPr>
        <w:jc w:val="center"/>
        <w:rPr>
          <w:rFonts w:ascii="方正小标宋_GBK" w:eastAsia="方正小标宋_GBK"/>
          <w:sz w:val="32"/>
          <w:szCs w:val="32"/>
          <w:highlight w:val="none"/>
        </w:rPr>
      </w:pPr>
      <w:r>
        <w:rPr>
          <w:rFonts w:hint="eastAsia" w:ascii="方正小标宋_GBK" w:eastAsia="方正小标宋_GBK"/>
          <w:sz w:val="32"/>
          <w:szCs w:val="32"/>
          <w:highlight w:val="none"/>
        </w:rPr>
        <w:t>部门政府采购预算</w:t>
      </w:r>
    </w:p>
    <w:tbl>
      <w:tblPr>
        <w:tblStyle w:val="4"/>
        <w:tblW w:w="1473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60"/>
        <w:gridCol w:w="1134"/>
        <w:gridCol w:w="1417"/>
        <w:gridCol w:w="1294"/>
        <w:gridCol w:w="709"/>
        <w:gridCol w:w="907"/>
        <w:gridCol w:w="907"/>
        <w:gridCol w:w="1134"/>
        <w:gridCol w:w="1134"/>
        <w:gridCol w:w="1134"/>
        <w:gridCol w:w="1134"/>
        <w:gridCol w:w="1134"/>
        <w:gridCol w:w="11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928"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hint="eastAsia" w:ascii="方正小标宋_GBK" w:eastAsia="方正仿宋_GBK"/>
                <w:sz w:val="24"/>
                <w:highlight w:val="none"/>
                <w:lang w:eastAsia="zh-CN"/>
              </w:rPr>
            </w:pPr>
            <w:r>
              <w:rPr>
                <w:rFonts w:hint="eastAsia" w:eastAsia="方正仿宋_GBK"/>
                <w:sz w:val="28"/>
                <w:highlight w:val="none"/>
              </w:rPr>
              <w:t>318002定州市</w:t>
            </w:r>
            <w:r>
              <w:rPr>
                <w:rFonts w:hint="eastAsia" w:eastAsia="方正仿宋_GBK"/>
                <w:sz w:val="28"/>
                <w:highlight w:val="none"/>
                <w:lang w:eastAsia="zh-CN"/>
              </w:rPr>
              <w:t>财政局</w:t>
            </w:r>
          </w:p>
        </w:tc>
        <w:tc>
          <w:tcPr>
            <w:tcW w:w="6804"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highlight w:val="none"/>
              </w:rPr>
            </w:pPr>
            <w:r>
              <w:rPr>
                <w:rFonts w:hint="eastAsia" w:ascii="方正小标宋_GBK" w:eastAsia="方正小标宋_GBK"/>
                <w:sz w:val="24"/>
                <w:highlight w:val="none"/>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94"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141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129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70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计量</w:t>
            </w:r>
            <w:r>
              <w:rPr>
                <w:rFonts w:ascii="方正书宋_GBK" w:eastAsia="方正书宋_GBK"/>
                <w:b/>
              </w:rPr>
              <w:t xml:space="preserve">  单位</w:t>
            </w:r>
          </w:p>
        </w:tc>
        <w:tc>
          <w:tcPr>
            <w:tcW w:w="90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90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6804" w:type="dxa"/>
            <w:gridSpan w:val="6"/>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560"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1417" w:type="dxa"/>
            <w:vMerge w:val="continue"/>
            <w:shd w:val="clear" w:color="auto" w:fill="auto"/>
            <w:vAlign w:val="center"/>
          </w:tcPr>
          <w:p>
            <w:pPr>
              <w:spacing w:line="300" w:lineRule="exact"/>
              <w:jc w:val="left"/>
              <w:outlineLvl w:val="1"/>
              <w:rPr>
                <w:rFonts w:eastAsia="方正仿宋_GBK"/>
                <w:sz w:val="28"/>
              </w:rPr>
            </w:pPr>
          </w:p>
        </w:tc>
        <w:tc>
          <w:tcPr>
            <w:tcW w:w="1294" w:type="dxa"/>
            <w:vMerge w:val="continue"/>
            <w:shd w:val="clear" w:color="auto" w:fill="auto"/>
            <w:vAlign w:val="center"/>
          </w:tcPr>
          <w:p>
            <w:pPr>
              <w:spacing w:line="300" w:lineRule="exact"/>
              <w:jc w:val="left"/>
              <w:outlineLvl w:val="1"/>
              <w:rPr>
                <w:rFonts w:eastAsia="方正仿宋_GBK"/>
                <w:sz w:val="28"/>
              </w:rPr>
            </w:pPr>
          </w:p>
        </w:tc>
        <w:tc>
          <w:tcPr>
            <w:tcW w:w="709" w:type="dxa"/>
            <w:vMerge w:val="continue"/>
            <w:shd w:val="clear" w:color="auto" w:fill="auto"/>
            <w:vAlign w:val="center"/>
          </w:tcPr>
          <w:p>
            <w:pPr>
              <w:spacing w:line="300" w:lineRule="exact"/>
              <w:jc w:val="left"/>
              <w:outlineLvl w:val="1"/>
              <w:rPr>
                <w:rFonts w:eastAsia="方正仿宋_GBK"/>
                <w:sz w:val="28"/>
              </w:rPr>
            </w:pPr>
          </w:p>
        </w:tc>
        <w:tc>
          <w:tcPr>
            <w:tcW w:w="907" w:type="dxa"/>
            <w:vMerge w:val="continue"/>
            <w:shd w:val="clear" w:color="auto" w:fill="auto"/>
            <w:vAlign w:val="center"/>
          </w:tcPr>
          <w:p>
            <w:pPr>
              <w:spacing w:line="300" w:lineRule="exact"/>
              <w:jc w:val="left"/>
              <w:outlineLvl w:val="1"/>
              <w:rPr>
                <w:rFonts w:eastAsia="方正仿宋_GBK"/>
                <w:sz w:val="28"/>
              </w:rPr>
            </w:pPr>
          </w:p>
        </w:tc>
        <w:tc>
          <w:tcPr>
            <w:tcW w:w="907" w:type="dxa"/>
            <w:vMerge w:val="continue"/>
            <w:shd w:val="clear" w:color="auto" w:fill="auto"/>
            <w:vAlign w:val="center"/>
          </w:tcPr>
          <w:p>
            <w:pPr>
              <w:spacing w:line="300" w:lineRule="exact"/>
              <w:jc w:val="left"/>
              <w:outlineLvl w:val="1"/>
              <w:rPr>
                <w:rFonts w:eastAsia="方正仿宋_GBK"/>
                <w:sz w:val="28"/>
              </w:rPr>
            </w:pP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国有资本经营预算拨款</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11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134" w:type="dxa"/>
            <w:shd w:val="clear" w:color="auto" w:fill="auto"/>
            <w:vAlign w:val="center"/>
          </w:tcPr>
          <w:p>
            <w:pPr>
              <w:spacing w:line="300" w:lineRule="exact"/>
              <w:jc w:val="right"/>
              <w:rPr>
                <w:rFonts w:ascii="方正书宋_GBK" w:eastAsia="方正书宋_GBK"/>
                <w:b/>
              </w:rPr>
            </w:pPr>
          </w:p>
        </w:tc>
        <w:tc>
          <w:tcPr>
            <w:tcW w:w="1417" w:type="dxa"/>
            <w:shd w:val="clear" w:color="auto" w:fill="auto"/>
            <w:vAlign w:val="center"/>
          </w:tcPr>
          <w:p>
            <w:pPr>
              <w:spacing w:line="300" w:lineRule="exact"/>
              <w:jc w:val="left"/>
              <w:rPr>
                <w:rFonts w:ascii="方正书宋_GBK" w:eastAsia="方正书宋_GBK"/>
                <w:b/>
              </w:rPr>
            </w:pPr>
          </w:p>
        </w:tc>
        <w:tc>
          <w:tcPr>
            <w:tcW w:w="1294" w:type="dxa"/>
            <w:shd w:val="clear" w:color="auto" w:fill="auto"/>
            <w:vAlign w:val="center"/>
          </w:tcPr>
          <w:p>
            <w:pPr>
              <w:spacing w:line="300" w:lineRule="exact"/>
              <w:jc w:val="left"/>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p>
        </w:tc>
        <w:tc>
          <w:tcPr>
            <w:tcW w:w="907" w:type="dxa"/>
            <w:shd w:val="clear" w:color="auto" w:fill="auto"/>
            <w:vAlign w:val="center"/>
          </w:tcPr>
          <w:p>
            <w:pPr>
              <w:spacing w:line="300" w:lineRule="exact"/>
              <w:jc w:val="right"/>
              <w:rPr>
                <w:rFonts w:ascii="方正书宋_GBK" w:eastAsia="方正书宋_GBK"/>
                <w:b/>
              </w:rPr>
            </w:pPr>
          </w:p>
        </w:tc>
        <w:tc>
          <w:tcPr>
            <w:tcW w:w="907"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hint="eastAsia" w:ascii="方正书宋_GBK" w:eastAsia="方正书宋_GBK"/>
                <w:b/>
                <w:lang w:val="en-US" w:eastAsia="zh-CN"/>
              </w:rPr>
            </w:pPr>
            <w:r>
              <w:rPr>
                <w:rFonts w:hint="eastAsia" w:ascii="方正书宋_GBK" w:eastAsia="方正书宋_GBK"/>
                <w:b/>
                <w:lang w:val="en-US" w:eastAsia="zh-CN"/>
              </w:rPr>
              <w:t>0</w:t>
            </w: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center"/>
              <w:rPr>
                <w:rFonts w:ascii="方正书宋_GBK" w:eastAsia="方正书宋_GBK"/>
                <w:b/>
              </w:rPr>
            </w:pPr>
          </w:p>
        </w:tc>
        <w:tc>
          <w:tcPr>
            <w:tcW w:w="1134" w:type="dxa"/>
            <w:shd w:val="clear" w:color="auto" w:fill="auto"/>
            <w:vAlign w:val="center"/>
          </w:tcPr>
          <w:p>
            <w:pPr>
              <w:spacing w:line="300" w:lineRule="exact"/>
              <w:jc w:val="center"/>
              <w:rPr>
                <w:rFonts w:ascii="方正书宋_GBK" w:eastAsia="方正书宋_GBK"/>
                <w:b/>
              </w:rPr>
            </w:pPr>
          </w:p>
        </w:tc>
        <w:tc>
          <w:tcPr>
            <w:tcW w:w="1417" w:type="dxa"/>
            <w:shd w:val="clear" w:color="auto" w:fill="auto"/>
            <w:vAlign w:val="center"/>
          </w:tcPr>
          <w:p>
            <w:pPr>
              <w:spacing w:line="300" w:lineRule="exact"/>
              <w:jc w:val="left"/>
              <w:rPr>
                <w:rFonts w:ascii="方正书宋_GBK" w:eastAsia="方正书宋_GBK"/>
                <w:b/>
              </w:rPr>
            </w:pPr>
          </w:p>
        </w:tc>
        <w:tc>
          <w:tcPr>
            <w:tcW w:w="1294" w:type="dxa"/>
            <w:shd w:val="clear" w:color="auto" w:fill="auto"/>
            <w:vAlign w:val="center"/>
          </w:tcPr>
          <w:p>
            <w:pPr>
              <w:spacing w:line="300" w:lineRule="exact"/>
              <w:jc w:val="left"/>
              <w:rPr>
                <w:rFonts w:ascii="方正书宋_GBK" w:eastAsia="方正书宋_GBK"/>
                <w:b/>
              </w:rPr>
            </w:pPr>
          </w:p>
        </w:tc>
        <w:tc>
          <w:tcPr>
            <w:tcW w:w="709" w:type="dxa"/>
            <w:shd w:val="clear" w:color="auto" w:fill="auto"/>
            <w:vAlign w:val="center"/>
          </w:tcPr>
          <w:p>
            <w:pPr>
              <w:spacing w:line="300" w:lineRule="exact"/>
              <w:jc w:val="center"/>
              <w:rPr>
                <w:rFonts w:ascii="方正书宋_GBK" w:eastAsia="方正书宋_GBK"/>
                <w:b/>
              </w:rPr>
            </w:pPr>
          </w:p>
        </w:tc>
        <w:tc>
          <w:tcPr>
            <w:tcW w:w="907" w:type="dxa"/>
            <w:shd w:val="clear" w:color="auto" w:fill="auto"/>
            <w:vAlign w:val="center"/>
          </w:tcPr>
          <w:p>
            <w:pPr>
              <w:spacing w:line="300" w:lineRule="exact"/>
              <w:jc w:val="right"/>
              <w:rPr>
                <w:rFonts w:ascii="方正书宋_GBK" w:eastAsia="方正书宋_GBK"/>
                <w:b/>
              </w:rPr>
            </w:pPr>
          </w:p>
        </w:tc>
        <w:tc>
          <w:tcPr>
            <w:tcW w:w="907"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c>
          <w:tcPr>
            <w:tcW w:w="1134"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lef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p>
        </w:tc>
        <w:tc>
          <w:tcPr>
            <w:tcW w:w="1294" w:type="dxa"/>
            <w:shd w:val="clear" w:color="auto" w:fill="auto"/>
            <w:vAlign w:val="center"/>
          </w:tcPr>
          <w:p>
            <w:pPr>
              <w:spacing w:line="300" w:lineRule="exact"/>
              <w:jc w:val="left"/>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lef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p>
        </w:tc>
        <w:tc>
          <w:tcPr>
            <w:tcW w:w="1294" w:type="dxa"/>
            <w:shd w:val="clear" w:color="auto" w:fill="auto"/>
            <w:vAlign w:val="center"/>
          </w:tcPr>
          <w:p>
            <w:pPr>
              <w:spacing w:line="300" w:lineRule="exact"/>
              <w:jc w:val="left"/>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lef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p>
        </w:tc>
        <w:tc>
          <w:tcPr>
            <w:tcW w:w="1294" w:type="dxa"/>
            <w:shd w:val="clear" w:color="auto" w:fill="auto"/>
            <w:vAlign w:val="center"/>
          </w:tcPr>
          <w:p>
            <w:pPr>
              <w:spacing w:line="300" w:lineRule="exact"/>
              <w:jc w:val="left"/>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560" w:type="dxa"/>
            <w:shd w:val="clear" w:color="auto" w:fill="auto"/>
            <w:vAlign w:val="center"/>
          </w:tcPr>
          <w:p>
            <w:pPr>
              <w:spacing w:line="300" w:lineRule="exact"/>
              <w:jc w:val="lef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417" w:type="dxa"/>
            <w:shd w:val="clear" w:color="auto" w:fill="auto"/>
            <w:vAlign w:val="center"/>
          </w:tcPr>
          <w:p>
            <w:pPr>
              <w:spacing w:line="300" w:lineRule="exact"/>
              <w:jc w:val="left"/>
              <w:rPr>
                <w:rFonts w:ascii="方正书宋_GBK" w:eastAsia="方正书宋_GBK"/>
              </w:rPr>
            </w:pPr>
          </w:p>
        </w:tc>
        <w:tc>
          <w:tcPr>
            <w:tcW w:w="1294" w:type="dxa"/>
            <w:shd w:val="clear" w:color="auto" w:fill="auto"/>
            <w:vAlign w:val="center"/>
          </w:tcPr>
          <w:p>
            <w:pPr>
              <w:spacing w:line="300" w:lineRule="exact"/>
              <w:jc w:val="left"/>
              <w:rPr>
                <w:rFonts w:ascii="方正书宋_GBK" w:eastAsia="方正书宋_GBK"/>
              </w:rPr>
            </w:pPr>
          </w:p>
        </w:tc>
        <w:tc>
          <w:tcPr>
            <w:tcW w:w="709" w:type="dxa"/>
            <w:shd w:val="clear" w:color="auto" w:fill="auto"/>
            <w:vAlign w:val="center"/>
          </w:tcPr>
          <w:p>
            <w:pPr>
              <w:spacing w:line="300" w:lineRule="exact"/>
              <w:jc w:val="center"/>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907"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c>
          <w:tcPr>
            <w:tcW w:w="1134" w:type="dxa"/>
            <w:shd w:val="clear" w:color="auto" w:fill="auto"/>
            <w:vAlign w:val="center"/>
          </w:tcPr>
          <w:p>
            <w:pPr>
              <w:spacing w:line="300" w:lineRule="exact"/>
              <w:jc w:val="right"/>
              <w:rPr>
                <w:rFonts w:ascii="方正书宋_GBK" w:eastAsia="方正书宋_GBK"/>
              </w:rPr>
            </w:pPr>
          </w:p>
        </w:tc>
      </w:tr>
    </w:tbl>
    <w:p>
      <w:pPr>
        <w:autoSpaceDE w:val="0"/>
        <w:autoSpaceDN w:val="0"/>
        <w:adjustRightInd w:val="0"/>
        <w:ind w:left="198" w:firstLine="640" w:firstLineChars="200"/>
        <w:jc w:val="left"/>
        <w:rPr>
          <w:rFonts w:ascii="黑体" w:hAnsi="黑体" w:eastAsia="黑体"/>
          <w:sz w:val="32"/>
          <w:szCs w:val="32"/>
        </w:rPr>
      </w:pP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七、国有资产信息情况</w:t>
      </w:r>
    </w:p>
    <w:p>
      <w:pPr>
        <w:ind w:firstLine="800" w:firstLineChars="250"/>
        <w:jc w:val="left"/>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rPr>
        <w:t>定州市</w:t>
      </w:r>
      <w:r>
        <w:rPr>
          <w:rFonts w:hint="eastAsia" w:ascii="仿宋_GB2312" w:hAnsi="宋体" w:eastAsia="仿宋_GB2312"/>
          <w:color w:val="000000"/>
          <w:sz w:val="32"/>
          <w:szCs w:val="32"/>
          <w:lang w:eastAsia="zh-CN"/>
        </w:rPr>
        <w:t>财政局</w:t>
      </w:r>
      <w:r>
        <w:rPr>
          <w:rFonts w:hint="eastAsia" w:ascii="仿宋_GB2312" w:hAnsi="宋体" w:eastAsia="仿宋_GB2312"/>
          <w:color w:val="000000"/>
          <w:sz w:val="32"/>
          <w:szCs w:val="32"/>
        </w:rPr>
        <w:t>上年末固定资产金额为</w:t>
      </w:r>
      <w:r>
        <w:rPr>
          <w:rFonts w:hint="eastAsia" w:ascii="仿宋_GB2312" w:hAnsi="宋体" w:eastAsia="仿宋_GB2312"/>
          <w:color w:val="000000"/>
          <w:sz w:val="32"/>
          <w:szCs w:val="32"/>
          <w:lang w:val="en-US" w:eastAsia="zh-CN"/>
        </w:rPr>
        <w:t>1594.65</w:t>
      </w:r>
      <w:r>
        <w:rPr>
          <w:rFonts w:hint="eastAsia" w:ascii="仿宋_GB2312" w:hAnsi="宋体" w:eastAsia="仿宋_GB2312"/>
          <w:color w:val="000000"/>
          <w:sz w:val="32"/>
          <w:szCs w:val="32"/>
        </w:rPr>
        <w:t>万元（详见下表），本年度拟购置固定资产总额为</w:t>
      </w:r>
      <w:r>
        <w:rPr>
          <w:rFonts w:hint="eastAsia" w:ascii="仿宋_GB2312" w:hAnsi="宋体" w:eastAsia="仿宋_GB2312"/>
          <w:color w:val="000000"/>
          <w:sz w:val="32"/>
          <w:szCs w:val="32"/>
          <w:lang w:val="en-US" w:eastAsia="zh-CN"/>
        </w:rPr>
        <w:t>0</w:t>
      </w:r>
      <w:r>
        <w:rPr>
          <w:rFonts w:hint="eastAsia" w:ascii="仿宋_GB2312" w:hAnsi="宋体" w:eastAsia="仿宋_GB2312"/>
          <w:color w:val="000000"/>
          <w:sz w:val="32"/>
          <w:szCs w:val="32"/>
        </w:rPr>
        <w:t>万元</w:t>
      </w:r>
      <w:r>
        <w:rPr>
          <w:rFonts w:hint="eastAsia" w:ascii="仿宋_GB2312" w:hAnsi="宋体" w:eastAsia="仿宋_GB2312"/>
          <w:color w:val="000000"/>
          <w:sz w:val="32"/>
          <w:szCs w:val="32"/>
          <w:lang w:eastAsia="zh-CN"/>
        </w:rPr>
        <w:t>。</w:t>
      </w:r>
    </w:p>
    <w:p>
      <w:pPr>
        <w:jc w:val="center"/>
        <w:rPr>
          <w:rFonts w:eastAsia="方正仿宋_GBK"/>
          <w:sz w:val="28"/>
          <w:highlight w:val="none"/>
        </w:rPr>
      </w:pPr>
      <w:bookmarkStart w:id="2" w:name="_GoBack"/>
      <w:bookmarkEnd w:id="2"/>
      <w:r>
        <w:rPr>
          <w:rFonts w:hint="eastAsia" w:eastAsia="方正仿宋_GBK"/>
          <w:sz w:val="28"/>
          <w:highlight w:val="none"/>
        </w:rPr>
        <w:t>固定资产占用情况表</w:t>
      </w:r>
    </w:p>
    <w:tbl>
      <w:tblPr>
        <w:tblStyle w:val="4"/>
        <w:tblW w:w="13482" w:type="dxa"/>
        <w:tblInd w:w="93" w:type="dxa"/>
        <w:tblLayout w:type="autofit"/>
        <w:tblCellMar>
          <w:top w:w="0" w:type="dxa"/>
          <w:left w:w="108" w:type="dxa"/>
          <w:bottom w:w="0" w:type="dxa"/>
          <w:right w:w="108" w:type="dxa"/>
        </w:tblCellMar>
      </w:tblPr>
      <w:tblGrid>
        <w:gridCol w:w="5224"/>
        <w:gridCol w:w="3155"/>
        <w:gridCol w:w="5103"/>
      </w:tblGrid>
      <w:tr>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pPr>
              <w:spacing w:line="300" w:lineRule="exact"/>
              <w:jc w:val="left"/>
              <w:rPr>
                <w:rFonts w:hint="default" w:eastAsia="方正仿宋_GBK"/>
                <w:sz w:val="28"/>
                <w:highlight w:val="none"/>
                <w:lang w:val="en-US" w:eastAsia="zh-CN"/>
              </w:rPr>
            </w:pPr>
            <w:r>
              <w:rPr>
                <w:rFonts w:hint="eastAsia" w:eastAsia="方正仿宋_GBK"/>
                <w:sz w:val="28"/>
                <w:highlight w:val="none"/>
              </w:rPr>
              <w:t>318</w:t>
            </w:r>
            <w:r>
              <w:rPr>
                <w:rFonts w:hint="eastAsia" w:eastAsia="方正仿宋_GBK"/>
                <w:sz w:val="28"/>
                <w:highlight w:val="none"/>
                <w:lang w:val="en-US" w:eastAsia="zh-CN"/>
              </w:rPr>
              <w:t>002 定州市财政局</w:t>
            </w:r>
          </w:p>
        </w:tc>
        <w:tc>
          <w:tcPr>
            <w:tcW w:w="5103" w:type="dxa"/>
            <w:tcBorders>
              <w:top w:val="nil"/>
              <w:left w:val="nil"/>
              <w:bottom w:val="nil"/>
              <w:right w:val="nil"/>
            </w:tcBorders>
            <w:shd w:val="clear" w:color="auto" w:fill="auto"/>
            <w:noWrap/>
            <w:vAlign w:val="center"/>
          </w:tcPr>
          <w:p>
            <w:pPr>
              <w:spacing w:line="300" w:lineRule="exact"/>
              <w:jc w:val="right"/>
              <w:rPr>
                <w:rFonts w:ascii="方正小标宋_GBK" w:eastAsia="方正小标宋_GBK"/>
                <w:sz w:val="24"/>
                <w:highlight w:val="none"/>
              </w:rPr>
            </w:pPr>
            <w:r>
              <w:rPr>
                <w:rFonts w:hint="eastAsia" w:ascii="方正小标宋_GBK" w:eastAsia="方正小标宋_GBK"/>
                <w:sz w:val="24"/>
                <w:highlight w:val="none"/>
              </w:rPr>
              <w:t>截止时间：</w:t>
            </w:r>
            <w:r>
              <w:rPr>
                <w:rFonts w:hint="eastAsia" w:eastAsia="方正仿宋_GBK"/>
                <w:sz w:val="28"/>
                <w:highlight w:val="none"/>
              </w:rPr>
              <w:t>20</w:t>
            </w:r>
            <w:r>
              <w:rPr>
                <w:rFonts w:hint="eastAsia" w:eastAsia="方正仿宋_GBK"/>
                <w:sz w:val="28"/>
                <w:highlight w:val="none"/>
                <w:lang w:val="en-US" w:eastAsia="zh-CN"/>
              </w:rPr>
              <w:t>18</w:t>
            </w:r>
            <w:r>
              <w:rPr>
                <w:rFonts w:hint="eastAsia" w:eastAsia="方正仿宋_GBK"/>
                <w:sz w:val="28"/>
                <w:highlight w:val="none"/>
              </w:rPr>
              <w:t>年12月31日</w:t>
            </w:r>
            <w:r>
              <w:rPr>
                <w:rFonts w:hint="eastAsia" w:ascii="方正小标宋_GBK" w:eastAsia="方正小标宋_GBK"/>
                <w:sz w:val="24"/>
                <w:highlight w:val="none"/>
              </w:rPr>
              <w:t xml:space="preserve">  </w:t>
            </w:r>
          </w:p>
        </w:tc>
      </w:tr>
      <w:tr>
        <w:tblPrEx>
          <w:tblCellMar>
            <w:top w:w="0" w:type="dxa"/>
            <w:left w:w="108" w:type="dxa"/>
            <w:bottom w:w="0" w:type="dxa"/>
            <w:right w:w="108" w:type="dxa"/>
          </w:tblCellMar>
        </w:tblPrEx>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项   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价值（金额单位：万元）</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hAnsi="宋体" w:eastAsia="方正书宋_GBK" w:cs="宋体"/>
                <w:kern w:val="0"/>
                <w:szCs w:val="21"/>
              </w:rPr>
            </w:pPr>
            <w:r>
              <w:rPr>
                <w:rFonts w:hint="eastAsia" w:ascii="方正书宋_GBK" w:hAnsi="宋体" w:eastAsia="方正书宋_GBK" w:cs="宋体"/>
                <w:kern w:val="0"/>
                <w:szCs w:val="21"/>
              </w:rPr>
              <w:t>资产总额</w:t>
            </w:r>
          </w:p>
        </w:tc>
        <w:tc>
          <w:tcPr>
            <w:tcW w:w="3155"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eastAsia="方正书宋_GBK"/>
                <w:kern w:val="0"/>
                <w:szCs w:val="21"/>
              </w:rPr>
            </w:pPr>
            <w:r>
              <w:rPr>
                <w:rFonts w:hint="eastAsia" w:ascii="方正书宋_GBK" w:eastAsia="方正书宋_GBK"/>
                <w:kern w:val="0"/>
                <w:szCs w:val="21"/>
              </w:rPr>
              <w:t>——</w:t>
            </w:r>
          </w:p>
        </w:tc>
        <w:tc>
          <w:tcPr>
            <w:tcW w:w="5103"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hint="default" w:ascii="方正书宋_GBK" w:eastAsia="方正书宋_GBK"/>
                <w:kern w:val="0"/>
                <w:szCs w:val="21"/>
                <w:lang w:val="en-US" w:eastAsia="zh-CN"/>
              </w:rPr>
            </w:pPr>
            <w:r>
              <w:rPr>
                <w:rFonts w:hint="eastAsia" w:ascii="方正书宋_GBK" w:eastAsia="方正书宋_GBK"/>
                <w:kern w:val="0"/>
                <w:szCs w:val="21"/>
                <w:lang w:val="en-US" w:eastAsia="zh-CN"/>
              </w:rPr>
              <w:t>1594.65</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1、房屋（平方米）</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8550</w:t>
            </w: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方正书宋_GBK" w:eastAsia="方正书宋_GBK"/>
                <w:b/>
                <w:szCs w:val="21"/>
                <w:lang w:eastAsia="zh-CN"/>
              </w:rPr>
            </w:pPr>
            <w:r>
              <w:rPr>
                <w:rFonts w:hint="eastAsia" w:ascii="方正书宋_GBK" w:eastAsia="方正书宋_GBK"/>
                <w:szCs w:val="21"/>
              </w:rPr>
              <w:t>815</w:t>
            </w:r>
            <w:r>
              <w:rPr>
                <w:rFonts w:hint="eastAsia" w:ascii="方正书宋_GBK" w:eastAsia="方正书宋_GBK"/>
                <w:szCs w:val="21"/>
                <w:lang w:val="en-US" w:eastAsia="zh-CN"/>
              </w:rPr>
              <w:t>.</w:t>
            </w:r>
            <w:r>
              <w:rPr>
                <w:rFonts w:hint="eastAsia" w:ascii="方正书宋_GBK" w:eastAsia="方正书宋_GBK"/>
                <w:szCs w:val="21"/>
              </w:rPr>
              <w:t>8</w:t>
            </w:r>
            <w:r>
              <w:rPr>
                <w:rFonts w:hint="eastAsia" w:ascii="方正书宋_GBK" w:eastAsia="方正书宋_GBK"/>
                <w:szCs w:val="21"/>
                <w:lang w:val="en-US" w:eastAsia="zh-CN"/>
              </w:rPr>
              <w:t>4</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 xml:space="preserve">   其中：办公用房（平方米）</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3900</w:t>
            </w: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方正书宋_GBK" w:eastAsia="方正书宋_GBK"/>
                <w:szCs w:val="21"/>
                <w:lang w:eastAsia="zh-CN"/>
              </w:rPr>
            </w:pPr>
            <w:r>
              <w:rPr>
                <w:rFonts w:hint="eastAsia" w:ascii="方正书宋_GBK" w:eastAsia="方正书宋_GBK"/>
                <w:szCs w:val="21"/>
              </w:rPr>
              <w:t>543</w:t>
            </w:r>
            <w:r>
              <w:rPr>
                <w:rFonts w:hint="eastAsia" w:ascii="方正书宋_GBK" w:eastAsia="方正书宋_GBK"/>
                <w:szCs w:val="21"/>
                <w:lang w:val="en-US" w:eastAsia="zh-CN"/>
              </w:rPr>
              <w:t>.</w:t>
            </w:r>
            <w:r>
              <w:rPr>
                <w:rFonts w:hint="eastAsia" w:ascii="方正书宋_GBK" w:eastAsia="方正书宋_GBK"/>
                <w:szCs w:val="21"/>
              </w:rPr>
              <w:t>1</w:t>
            </w:r>
            <w:r>
              <w:rPr>
                <w:rFonts w:hint="eastAsia" w:ascii="方正书宋_GBK" w:eastAsia="方正书宋_GBK"/>
                <w:szCs w:val="21"/>
                <w:lang w:val="en-US" w:eastAsia="zh-CN"/>
              </w:rPr>
              <w:t>3</w:t>
            </w: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2、车辆（台、辆）</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方正书宋_GBK" w:eastAsia="方正书宋_GBK"/>
                <w:szCs w:val="21"/>
                <w:lang w:val="en-US" w:eastAsia="zh-CN"/>
              </w:rPr>
            </w:pP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方正书宋_GBK" w:eastAsia="方正书宋_GBK"/>
                <w:szCs w:val="21"/>
                <w:lang w:val="en-US" w:eastAsia="zh-CN"/>
              </w:rPr>
            </w:pP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方正书宋_GBK" w:eastAsia="方正书宋_GBK"/>
                <w:szCs w:val="21"/>
                <w:lang w:val="en-US" w:eastAsia="zh-CN"/>
              </w:rPr>
            </w:pP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方正书宋_GBK" w:eastAsia="方正书宋_GBK"/>
                <w:szCs w:val="21"/>
                <w:lang w:val="en-US" w:eastAsia="zh-CN"/>
              </w:rPr>
            </w:pPr>
          </w:p>
        </w:tc>
      </w:tr>
      <w:tr>
        <w:tblPrEx>
          <w:tblCellMar>
            <w:top w:w="0" w:type="dxa"/>
            <w:left w:w="108" w:type="dxa"/>
            <w:bottom w:w="0" w:type="dxa"/>
            <w:right w:w="108" w:type="dxa"/>
          </w:tblCellMar>
        </w:tblPrEx>
        <w:trPr>
          <w:trHeight w:val="454" w:hRule="atLeast"/>
        </w:trPr>
        <w:tc>
          <w:tcPr>
            <w:tcW w:w="5224"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4、其他固定资产</w:t>
            </w:r>
          </w:p>
        </w:tc>
        <w:tc>
          <w:tcPr>
            <w:tcW w:w="3155"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c>
          <w:tcPr>
            <w:tcW w:w="5103"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778.81</w:t>
            </w:r>
          </w:p>
        </w:tc>
      </w:tr>
    </w:tbl>
    <w:p>
      <w:pPr>
        <w:ind w:firstLine="800" w:firstLineChars="250"/>
        <w:jc w:val="left"/>
        <w:rPr>
          <w:rFonts w:hint="eastAsia" w:ascii="仿宋_GB2312" w:hAnsi="宋体" w:eastAsia="仿宋_GB2312"/>
          <w:color w:val="00000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八、专业名词解释</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三公”经费：指部门用财政拨款安排的因公出国（境）费、公务用车购置及运行费和公务接待费。其中，因公出国（境）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费反映单位按规定开支的各类公务接待（含外宾接待）支出。</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九、其他需说明的事项</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宋体" w:eastAsia="仿宋_GB2312"/>
          <w:color w:val="000000"/>
          <w:sz w:val="32"/>
          <w:szCs w:val="32"/>
        </w:rPr>
        <w:t>我单位无政府性基金预算和国有资本经营预算</w:t>
      </w:r>
      <w:r>
        <w:rPr>
          <w:rFonts w:hint="eastAsia" w:ascii="仿宋_GB2312" w:hAnsi="Times New Roman" w:eastAsia="仿宋_GB2312"/>
          <w:kern w:val="0"/>
          <w:sz w:val="32"/>
          <w:szCs w:val="32"/>
        </w:rPr>
        <w:t>。</w:t>
      </w:r>
    </w:p>
    <w:p>
      <w:pPr>
        <w:widowControl/>
        <w:spacing w:line="580" w:lineRule="atLeast"/>
        <w:ind w:firstLine="640"/>
        <w:jc w:val="left"/>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UnicodeMS">
    <w:altName w:val="Batang"/>
    <w:panose1 w:val="00000000000000000000"/>
    <w:charset w:val="81"/>
    <w:family w:val="auto"/>
    <w:pitch w:val="default"/>
    <w:sig w:usb0="00000000" w:usb1="00000000" w:usb2="00000010" w:usb3="00000000" w:csb0="00080001" w:csb1="00000000"/>
  </w:font>
  <w:font w:name="Batang">
    <w:panose1 w:val="02030600000101010101"/>
    <w:charset w:val="81"/>
    <w:family w:val="auto"/>
    <w:pitch w:val="default"/>
    <w:sig w:usb0="B00002AF" w:usb1="69D77CFB" w:usb2="00000030" w:usb3="00000000" w:csb0="4008009F" w:csb1="DFD70000"/>
  </w:font>
  <w:font w:name="方正小标宋_GBK">
    <w:altName w:val="宋体"/>
    <w:panose1 w:val="00000000000000000000"/>
    <w:charset w:val="86"/>
    <w:family w:val="roman"/>
    <w:pitch w:val="default"/>
    <w:sig w:usb0="00000000" w:usb1="00000000" w:usb2="00000000" w:usb3="00000000" w:csb0="00000000" w:csb1="00000000"/>
  </w:font>
  <w:font w:name="方正书宋_GBK">
    <w:altName w:val="宋体"/>
    <w:panose1 w:val="00000000000000000000"/>
    <w:charset w:val="86"/>
    <w:family w:val="roman"/>
    <w:pitch w:val="default"/>
    <w:sig w:usb0="00000000" w:usb1="00000000" w:usb2="00000000" w:usb3="00000000" w:csb0="00000000"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667C0"/>
    <w:rsid w:val="00086C7E"/>
    <w:rsid w:val="00116421"/>
    <w:rsid w:val="0012207D"/>
    <w:rsid w:val="00173F00"/>
    <w:rsid w:val="00220902"/>
    <w:rsid w:val="0025407C"/>
    <w:rsid w:val="002A7B6A"/>
    <w:rsid w:val="002B60EF"/>
    <w:rsid w:val="002F7349"/>
    <w:rsid w:val="00307AF8"/>
    <w:rsid w:val="0038106E"/>
    <w:rsid w:val="00462846"/>
    <w:rsid w:val="004C4DC9"/>
    <w:rsid w:val="00582159"/>
    <w:rsid w:val="005A014E"/>
    <w:rsid w:val="006262C2"/>
    <w:rsid w:val="006667C0"/>
    <w:rsid w:val="006E27D7"/>
    <w:rsid w:val="00735821"/>
    <w:rsid w:val="00751354"/>
    <w:rsid w:val="00763871"/>
    <w:rsid w:val="007C74C9"/>
    <w:rsid w:val="00875CC7"/>
    <w:rsid w:val="00894F47"/>
    <w:rsid w:val="008D3DAA"/>
    <w:rsid w:val="00B02E85"/>
    <w:rsid w:val="00B21740"/>
    <w:rsid w:val="00B672AB"/>
    <w:rsid w:val="00C07E09"/>
    <w:rsid w:val="00C37481"/>
    <w:rsid w:val="00C70B56"/>
    <w:rsid w:val="00D60C6C"/>
    <w:rsid w:val="00D8145C"/>
    <w:rsid w:val="00D917FD"/>
    <w:rsid w:val="00D94FD5"/>
    <w:rsid w:val="00DB76D5"/>
    <w:rsid w:val="00E50F76"/>
    <w:rsid w:val="00EA60A4"/>
    <w:rsid w:val="00EE3631"/>
    <w:rsid w:val="00EF6B93"/>
    <w:rsid w:val="00F069AA"/>
    <w:rsid w:val="052B056F"/>
    <w:rsid w:val="28E53E24"/>
    <w:rsid w:val="2BF879E8"/>
    <w:rsid w:val="3D236E7A"/>
    <w:rsid w:val="5CD954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1"/>
    <w:rPr>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9640FD-BC5D-40CC-8F1B-3C55A9B83F91}">
  <ds:schemaRefs/>
</ds:datastoreItem>
</file>

<file path=docProps/app.xml><?xml version="1.0" encoding="utf-8"?>
<Properties xmlns="http://schemas.openxmlformats.org/officeDocument/2006/extended-properties" xmlns:vt="http://schemas.openxmlformats.org/officeDocument/2006/docPropsVTypes">
  <Template>Normal</Template>
  <Pages>7</Pages>
  <Words>605</Words>
  <Characters>3449</Characters>
  <Lines>28</Lines>
  <Paragraphs>8</Paragraphs>
  <TotalTime>6</TotalTime>
  <ScaleCrop>false</ScaleCrop>
  <LinksUpToDate>false</LinksUpToDate>
  <CharactersWithSpaces>4046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2018-02-27T07:57:00Z</dcterms:created>
  <dc:creator>Administrator</dc:creator>
  <cp:lastModifiedBy>Administrator</cp:lastModifiedBy>
  <dcterms:modified xsi:type="dcterms:W3CDTF">2021-05-18T08:53:11Z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13AF60D862DD4801A3FBEE6B1466C890</vt:lpwstr>
  </property>
</Properties>
</file>