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atLeast"/>
        <w:jc w:val="center"/>
        <w:rPr>
          <w:rFonts w:ascii="仿宋_GB2312" w:hAnsi="宋体" w:eastAsia="仿宋_GB2312" w:cs="宋体"/>
          <w:kern w:val="0"/>
          <w:sz w:val="44"/>
          <w:szCs w:val="44"/>
        </w:rPr>
      </w:pPr>
      <w:bookmarkStart w:id="1" w:name="_GoBack"/>
      <w:bookmarkEnd w:id="1"/>
      <w:r>
        <w:rPr>
          <w:rFonts w:hint="eastAsia" w:ascii="仿宋_GB2312" w:hAnsi="宋体" w:eastAsia="仿宋_GB2312" w:cs="宋体"/>
          <w:kern w:val="0"/>
          <w:sz w:val="44"/>
          <w:szCs w:val="44"/>
        </w:rPr>
        <w:t>2019年东旺镇部门预算公开有关事项的说明</w:t>
      </w:r>
    </w:p>
    <w:p>
      <w:pPr>
        <w:widowControl/>
        <w:spacing w:line="580" w:lineRule="atLeast"/>
        <w:jc w:val="center"/>
        <w:rPr>
          <w:rFonts w:ascii="仿宋_GB2312" w:hAnsi="宋体" w:eastAsia="仿宋_GB2312" w:cs="宋体"/>
          <w:kern w:val="0"/>
          <w:sz w:val="44"/>
          <w:szCs w:val="44"/>
        </w:rPr>
      </w:pP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一、部门职责、机构设置等基本情况</w:t>
      </w:r>
    </w:p>
    <w:p>
      <w:pPr>
        <w:spacing w:line="500" w:lineRule="exact"/>
        <w:ind w:firstLine="560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、部门职责</w:t>
      </w:r>
    </w:p>
    <w:p>
      <w:pPr>
        <w:spacing w:line="500" w:lineRule="exact"/>
        <w:ind w:firstLine="560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</w:rPr>
        <w:t>党政办公室：完成党委、政府、人大、纪检、宣传、共青团、妇联等工作，协调各办公室的工作关系；完成新农村的规划和建设工作；完成政府日常事务和机关后勤工作，完成党委政府交办的其他工作。</w:t>
      </w:r>
    </w:p>
    <w:p>
      <w:pPr>
        <w:spacing w:line="500" w:lineRule="exact"/>
        <w:ind w:firstLine="560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财经办公室：负责农村合作社经济管理；制定镇财政发展总体规划和财政工作规章制度；制定镇财政年度收支预算和决算，监督检查预算执行和经费使用情况，严格控制财政支出，确保财政收支平衡；帮助指导和监督本镇经济组织和村的财务管理工作；承办镇党委、政府交办的其他事项</w:t>
      </w:r>
    </w:p>
    <w:p>
      <w:pPr>
        <w:spacing w:line="500" w:lineRule="exact"/>
        <w:ind w:firstLine="560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计划生育服务中心：贯彻执行国家和地方计划生育的法规、条例和方针政策，落实我市有关人口、计划生育工作的规章制度和办法；对各村街计划生育工作进行指导、管理和考核；完成计划生育技术服务及人口生育管理，育龄妇女普查，及计生协会等工作，承办计划生育领导小组的日常工作；承办镇党委、政府交办的其他事项</w:t>
      </w:r>
    </w:p>
    <w:p>
      <w:pPr>
        <w:spacing w:line="500" w:lineRule="exact"/>
        <w:ind w:firstLine="560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农业综合服务中心：承担全镇农业技术推广任务；全镇农业机械管理工作；负责有关水利的法律、法规、条例和政策的宣传工作；为农田水利建设提供技术服务；推广节水用水技术；指导植树造林和其他林业生产活动；为发展林果业提供技术服务；负责畜牧业新品种、新技术的引进、试验示范、推广及畜禽防疫治病、技术推广及普及培训；承担镇党委和政府交办的其他事项。</w:t>
      </w:r>
    </w:p>
    <w:p>
      <w:pPr>
        <w:spacing w:line="500" w:lineRule="exact"/>
        <w:ind w:firstLine="56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文化广播服务中心：对镇群众进行爱国主义、集体主义和社会主义宣传教育；组织开展丰富多彩的群众性文艺、体育活动；辅导和培训群众文艺骨干；做好文物宣传保护工作；致富信息宣传工作；对镇文化市场进行监督、检查与管理；广播服务工作；承担镇领导交办的其他任务。</w:t>
      </w:r>
    </w:p>
    <w:p>
      <w:pPr>
        <w:ind w:firstLine="643" w:firstLineChars="200"/>
        <w:rPr>
          <w:rFonts w:ascii="仿宋_GB2312" w:hAnsi="宋体" w:eastAsia="仿宋_GB2312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 w:cs="宋体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、机构设置</w:t>
      </w:r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根据《定州市东旺镇人民政府职能配置、内设机构和人员编制方案》规定，东旺镇人民政府是乡镇一级人民政府，下设党政办公室和财经办公室，农业服务中心、文化综合服务中心和计划生育服务中心。</w:t>
      </w:r>
    </w:p>
    <w:p>
      <w:pPr>
        <w:jc w:val="center"/>
        <w:outlineLvl w:val="0"/>
        <w:rPr>
          <w:rFonts w:ascii="方正小标宋_GBK" w:eastAsia="方正小标宋_GBK"/>
          <w:sz w:val="32"/>
        </w:rPr>
      </w:pPr>
      <w:r>
        <w:rPr>
          <w:rFonts w:hint="eastAsia" w:ascii="方正小标宋_GBK" w:eastAsia="方正小标宋_GBK"/>
          <w:sz w:val="44"/>
          <w:szCs w:val="44"/>
        </w:rPr>
        <w:tab/>
      </w:r>
      <w:bookmarkStart w:id="0" w:name="_Toc536788445"/>
      <w:r>
        <w:rPr>
          <w:rFonts w:hint="eastAsia" w:ascii="方正小标宋_GBK" w:eastAsia="方正小标宋_GBK"/>
          <w:sz w:val="32"/>
        </w:rPr>
        <w:t>部门基本情况表</w:t>
      </w:r>
      <w:bookmarkEnd w:id="0"/>
    </w:p>
    <w:tbl>
      <w:tblPr>
        <w:tblStyle w:val="4"/>
        <w:tblW w:w="10707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2"/>
        <w:gridCol w:w="851"/>
        <w:gridCol w:w="958"/>
        <w:gridCol w:w="1766"/>
        <w:gridCol w:w="532"/>
        <w:gridCol w:w="534"/>
        <w:gridCol w:w="532"/>
        <w:gridCol w:w="532"/>
        <w:gridCol w:w="533"/>
        <w:gridCol w:w="532"/>
        <w:gridCol w:w="532"/>
        <w:gridCol w:w="53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tblHeader/>
          <w:jc w:val="center"/>
        </w:trPr>
        <w:tc>
          <w:tcPr>
            <w:tcW w:w="7513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小标宋_GBK" w:eastAsia="方正小标宋_GBK"/>
                <w:sz w:val="24"/>
              </w:rPr>
            </w:pPr>
            <w:r>
              <w:rPr>
                <w:rFonts w:hint="eastAsia" w:ascii="方正小标宋_GBK" w:eastAsia="方正小标宋_GBK"/>
                <w:sz w:val="24"/>
              </w:rPr>
              <w:t>909定州市东旺镇人民政府</w:t>
            </w:r>
          </w:p>
        </w:tc>
        <w:tc>
          <w:tcPr>
            <w:tcW w:w="3194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小标宋_GBK" w:eastAsia="方正小标宋_GBK"/>
                <w:sz w:val="24"/>
              </w:rPr>
            </w:pPr>
            <w:r>
              <w:rPr>
                <w:rFonts w:hint="eastAsia" w:ascii="方正小标宋_GBK" w:eastAsia="方正小标宋_GBK"/>
                <w:sz w:val="24"/>
              </w:rPr>
              <w:t>单位：人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tblHeader/>
          <w:jc w:val="center"/>
        </w:trPr>
        <w:tc>
          <w:tcPr>
            <w:tcW w:w="287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单位名称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单位性质</w:t>
            </w:r>
          </w:p>
        </w:tc>
        <w:tc>
          <w:tcPr>
            <w:tcW w:w="958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单位规格</w:t>
            </w:r>
          </w:p>
        </w:tc>
        <w:tc>
          <w:tcPr>
            <w:tcW w:w="1766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经费保障形式</w:t>
            </w:r>
          </w:p>
        </w:tc>
        <w:tc>
          <w:tcPr>
            <w:tcW w:w="532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车辆实有数</w:t>
            </w:r>
          </w:p>
        </w:tc>
        <w:tc>
          <w:tcPr>
            <w:tcW w:w="1066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编制人数</w:t>
            </w:r>
          </w:p>
        </w:tc>
        <w:tc>
          <w:tcPr>
            <w:tcW w:w="106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在职人数</w:t>
            </w:r>
          </w:p>
        </w:tc>
        <w:tc>
          <w:tcPr>
            <w:tcW w:w="1597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离退人数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tblHeader/>
          <w:jc w:val="center"/>
        </w:trPr>
        <w:tc>
          <w:tcPr>
            <w:tcW w:w="287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0"/>
            </w:pPr>
          </w:p>
        </w:tc>
        <w:tc>
          <w:tcPr>
            <w:tcW w:w="851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0"/>
            </w:pPr>
          </w:p>
        </w:tc>
        <w:tc>
          <w:tcPr>
            <w:tcW w:w="958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0"/>
            </w:pPr>
          </w:p>
        </w:tc>
        <w:tc>
          <w:tcPr>
            <w:tcW w:w="1766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0"/>
            </w:pPr>
          </w:p>
        </w:tc>
        <w:tc>
          <w:tcPr>
            <w:tcW w:w="532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0"/>
            </w:pPr>
          </w:p>
        </w:tc>
        <w:tc>
          <w:tcPr>
            <w:tcW w:w="53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行政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事业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行政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事业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离休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退休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退职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287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合</w:t>
            </w:r>
            <w:r>
              <w:rPr>
                <w:rFonts w:ascii="方正书宋_GBK" w:eastAsia="方正书宋_GBK"/>
                <w:b/>
              </w:rPr>
              <w:t xml:space="preserve">    </w:t>
            </w:r>
            <w:r>
              <w:rPr>
                <w:rFonts w:hint="eastAsia" w:ascii="方正书宋_GBK" w:eastAsia="方正书宋_GBK"/>
                <w:b/>
              </w:rPr>
              <w:t>计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95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176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2</w:t>
            </w:r>
          </w:p>
        </w:tc>
        <w:tc>
          <w:tcPr>
            <w:tcW w:w="53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22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33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22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2872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东旺镇党委办公室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行政</w:t>
            </w:r>
          </w:p>
        </w:tc>
        <w:tc>
          <w:tcPr>
            <w:tcW w:w="95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正科级</w:t>
            </w:r>
          </w:p>
        </w:tc>
        <w:tc>
          <w:tcPr>
            <w:tcW w:w="176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财政拨款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5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2872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东旺镇政府办公室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行政</w:t>
            </w:r>
          </w:p>
        </w:tc>
        <w:tc>
          <w:tcPr>
            <w:tcW w:w="95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正科级</w:t>
            </w:r>
          </w:p>
        </w:tc>
        <w:tc>
          <w:tcPr>
            <w:tcW w:w="176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财政拨款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2</w:t>
            </w:r>
          </w:p>
        </w:tc>
        <w:tc>
          <w:tcPr>
            <w:tcW w:w="53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17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23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2872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东旺镇财经办公室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行政</w:t>
            </w:r>
          </w:p>
        </w:tc>
        <w:tc>
          <w:tcPr>
            <w:tcW w:w="95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其他</w:t>
            </w:r>
          </w:p>
        </w:tc>
        <w:tc>
          <w:tcPr>
            <w:tcW w:w="176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财政拨款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5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5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2872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东旺镇计生服务中心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事业</w:t>
            </w:r>
          </w:p>
        </w:tc>
        <w:tc>
          <w:tcPr>
            <w:tcW w:w="95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其他</w:t>
            </w:r>
          </w:p>
        </w:tc>
        <w:tc>
          <w:tcPr>
            <w:tcW w:w="176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财政性资金基本保证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7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2872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东旺镇农业服务中心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事业</w:t>
            </w:r>
          </w:p>
        </w:tc>
        <w:tc>
          <w:tcPr>
            <w:tcW w:w="95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其他</w:t>
            </w:r>
          </w:p>
        </w:tc>
        <w:tc>
          <w:tcPr>
            <w:tcW w:w="176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财政性资金基本保证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14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  <w:jc w:val="center"/>
        </w:trPr>
        <w:tc>
          <w:tcPr>
            <w:tcW w:w="2872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东旺镇文化广播服务中心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事业</w:t>
            </w:r>
          </w:p>
        </w:tc>
        <w:tc>
          <w:tcPr>
            <w:tcW w:w="958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其他</w:t>
            </w:r>
          </w:p>
        </w:tc>
        <w:tc>
          <w:tcPr>
            <w:tcW w:w="1766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财政性资金基本保证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</w:t>
            </w: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532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</w:tbl>
    <w:p>
      <w:pPr>
        <w:spacing w:line="300" w:lineRule="exact"/>
        <w:jc w:val="left"/>
        <w:outlineLvl w:val="0"/>
        <w:sectPr>
          <w:pgSz w:w="11907" w:h="16839"/>
          <w:pgMar w:top="1440" w:right="1077" w:bottom="1440" w:left="1077" w:header="851" w:footer="992" w:gutter="0"/>
          <w:cols w:space="425" w:num="1"/>
          <w:docGrid w:type="lines" w:linePitch="312" w:charSpace="0"/>
        </w:sectPr>
      </w:pPr>
    </w:p>
    <w:p>
      <w:pPr>
        <w:ind w:firstLine="630" w:firstLineChars="196"/>
        <w:rPr>
          <w:rFonts w:ascii="仿宋_GB2312" w:hAnsi="宋体" w:eastAsia="仿宋_GB2312" w:cs="宋体"/>
          <w:b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auto"/>
          <w:sz w:val="32"/>
          <w:szCs w:val="32"/>
        </w:rPr>
        <w:t>3、部门预算单位构成：</w:t>
      </w:r>
    </w:p>
    <w:p>
      <w:pPr>
        <w:tabs>
          <w:tab w:val="left" w:pos="5847"/>
          <w:tab w:val="center" w:pos="7459"/>
        </w:tabs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部门预算单位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共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6个，行政性质3个，分别为东旺镇党委办公室，东旺镇政府办公室、东旺镇财经办公室；事业性质3个，分别为东旺镇计生服务中心、东旺镇农业服务中心、东旺镇文化广播服务中心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。</w:t>
      </w:r>
    </w:p>
    <w:p>
      <w:pPr>
        <w:tabs>
          <w:tab w:val="left" w:pos="5847"/>
          <w:tab w:val="center" w:pos="7459"/>
        </w:tabs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二、部门预算安排总体情况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1</w:t>
      </w:r>
      <w:r>
        <w:rPr>
          <w:rFonts w:hint="eastAsia" w:ascii="仿宋_GB2312" w:hAnsi="宋体" w:eastAsia="仿宋_GB2312" w:cs="宋体"/>
          <w:sz w:val="32"/>
          <w:szCs w:val="32"/>
        </w:rPr>
        <w:t>、收入说明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我部门本年收入770.49万元，财政拨款770.49万元</w:t>
      </w:r>
      <w:r>
        <w:rPr>
          <w:rFonts w:ascii="仿宋_GB2312" w:hAnsi="宋体" w:eastAsia="仿宋_GB2312" w:cs="宋体"/>
          <w:sz w:val="32"/>
          <w:szCs w:val="32"/>
        </w:rPr>
        <w:t>（一般公共预算财政拨款</w:t>
      </w:r>
      <w:r>
        <w:rPr>
          <w:rFonts w:hint="eastAsia" w:ascii="仿宋_GB2312" w:hAnsi="宋体" w:eastAsia="仿宋_GB2312" w:cs="宋体"/>
          <w:sz w:val="32"/>
          <w:szCs w:val="32"/>
        </w:rPr>
        <w:t>770.49</w:t>
      </w:r>
      <w:r>
        <w:rPr>
          <w:rFonts w:ascii="仿宋_GB2312" w:hAnsi="宋体" w:eastAsia="仿宋_GB2312" w:cs="宋体"/>
          <w:sz w:val="32"/>
          <w:szCs w:val="32"/>
        </w:rPr>
        <w:t>万元、政府性基金预算财政拨款0万元、国有资本经营预算财政拨款0万元）</w:t>
      </w:r>
      <w:r>
        <w:rPr>
          <w:rFonts w:hint="eastAsia" w:ascii="仿宋_GB2312" w:hAnsi="宋体" w:eastAsia="仿宋_GB2312" w:cs="宋体"/>
          <w:sz w:val="32"/>
          <w:szCs w:val="32"/>
        </w:rPr>
        <w:t>；上级补助收入0 万元；事业收入 0 万元；经营收入 0 万元；附属单位上解收入0 万元，其他收入0 万元。上年结转 0 万元。</w:t>
      </w:r>
    </w:p>
    <w:p>
      <w:pPr>
        <w:numPr>
          <w:ilvl w:val="0"/>
          <w:numId w:val="1"/>
        </w:num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支出说明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安排支出770.49万元 ，其中：基本支出619.79万元（人员经费561.92万元，公用经费57.87万元）；项目支出150.7万元（村级补助138.7万元，伙食补助3万元，稳定经费3万元，农村环境保护6万元）；上缴上级支出 0 万元；经营支出 0万元；对附属单位补助支出0 万元）。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3、与上年度相比增减情况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2019年预算收入支出为770.49万元，较2018年增加151.69万元。其中：人员经费增加69.12万元、日常公用经费增加2.17万元，部门项目支出预算增加80.4万元，主要是村级补助和环保经费增加。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三、机关运行经费安排情况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我部门安排机关运行经费57.87万元，其中：办公费9.2万元、邮电费4.1万元、差旅费 3.5万元、会议费0万元、福利费3.78万元、日常维修费0 万元、专用材料及一般设备购置费0 万元、办公用房水电费5.6 万元、办公用房取暖费5万元、公务接待费1.8万元、工会经费2.87万元、公车运行维护费3.61万元、其他交通费18.41万元，公务交通费0万元，办公用房物业管理费 0万元、其他办公运行费用 0万元。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四、财政拨款“三公”经费预算情况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我部门“三公”经费预算仅包括一般公共预算安排的经费5.41万元：</w:t>
      </w:r>
      <w:r>
        <w:rPr>
          <w:rFonts w:hint="eastAsia" w:ascii="仿宋_GB2312" w:eastAsia="仿宋_GB2312"/>
          <w:sz w:val="32"/>
          <w:szCs w:val="32"/>
        </w:rPr>
        <w:t>其中一般公共预算</w:t>
      </w:r>
      <w:r>
        <w:rPr>
          <w:rFonts w:ascii="仿宋_GB2312" w:eastAsia="仿宋_GB2312"/>
          <w:sz w:val="32"/>
          <w:szCs w:val="32"/>
        </w:rPr>
        <w:t>5.</w:t>
      </w:r>
      <w:r>
        <w:rPr>
          <w:rFonts w:hint="eastAsia" w:ascii="仿宋_GB2312" w:eastAsia="仿宋_GB2312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万元、政府性基金预算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hint="eastAsia" w:ascii="仿宋_GB2312" w:eastAsia="仿宋_GB2312"/>
          <w:sz w:val="32"/>
          <w:szCs w:val="32"/>
        </w:rPr>
        <w:t>万元、国有资本经营预算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hint="eastAsia" w:ascii="仿宋_GB2312" w:eastAsia="仿宋_GB2312"/>
          <w:sz w:val="32"/>
          <w:szCs w:val="32"/>
        </w:rPr>
        <w:t>万元、财政专户核拨资金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hint="eastAsia" w:ascii="仿宋_GB2312" w:eastAsia="仿宋_GB2312"/>
          <w:sz w:val="32"/>
          <w:szCs w:val="32"/>
        </w:rPr>
        <w:t>万元。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因公出国（境）费安排0万元；公务用车购置及运行费3.61万元，其中：公务用车购置费0万元、公务用车运行维护费3.61万元；公务接待费1.8万元。与上年预算相比，因公出国（境）费无变化，我单位无此预算安排；公务用车运行维护费与上年比较无变化，公务接待费与上年相比减少0.2万元，主要原因：按照党的十九大报告要求：“建立全面规范透明、标准科学、约束有力的预算制度，全面实施绩效管理”，坚持厉行节约，实事求是的安排了公务接待费1.8万元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五、绩效预算信息情况</w:t>
      </w:r>
    </w:p>
    <w:p>
      <w:pPr>
        <w:ind w:firstLine="551" w:firstLineChars="196"/>
        <w:jc w:val="left"/>
        <w:rPr>
          <w:rFonts w:ascii="方正楷体_GBK" w:eastAsia="方正楷体_GBK"/>
          <w:b/>
          <w:sz w:val="28"/>
        </w:rPr>
      </w:pPr>
      <w:r>
        <w:rPr>
          <w:rFonts w:hint="eastAsia" w:ascii="方正楷体_GBK" w:eastAsia="方正楷体_GBK"/>
          <w:b/>
          <w:sz w:val="28"/>
        </w:rPr>
        <w:t>一、年度发展规划目标</w:t>
      </w:r>
    </w:p>
    <w:p>
      <w:pPr>
        <w:ind w:firstLine="551" w:firstLineChars="196"/>
        <w:jc w:val="left"/>
        <w:rPr>
          <w:rFonts w:ascii="方正楷体_GBK" w:eastAsia="方正楷体_GBK"/>
          <w:b/>
          <w:sz w:val="28"/>
        </w:rPr>
      </w:pPr>
      <w:r>
        <w:rPr>
          <w:rFonts w:hint="eastAsia" w:ascii="方正楷体_GBK" w:eastAsia="方正楷体_GBK"/>
          <w:b/>
          <w:sz w:val="28"/>
        </w:rPr>
        <w:t>总体目标：</w:t>
      </w:r>
    </w:p>
    <w:p>
      <w:pPr>
        <w:ind w:firstLine="640" w:firstLineChars="20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ascii="仿宋_GB2312" w:hAnsi="Times New Roman" w:eastAsia="仿宋_GB2312"/>
          <w:kern w:val="0"/>
          <w:sz w:val="32"/>
          <w:szCs w:val="32"/>
        </w:rPr>
        <w:t>201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9</w:t>
      </w:r>
      <w:r>
        <w:rPr>
          <w:rFonts w:ascii="仿宋_GB2312" w:hAnsi="Times New Roman" w:eastAsia="仿宋_GB2312"/>
          <w:kern w:val="0"/>
          <w:sz w:val="32"/>
          <w:szCs w:val="32"/>
        </w:rPr>
        <w:t>年，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东旺</w:t>
      </w:r>
      <w:r>
        <w:rPr>
          <w:rFonts w:ascii="仿宋_GB2312" w:hAnsi="Times New Roman" w:eastAsia="仿宋_GB2312"/>
          <w:kern w:val="0"/>
          <w:sz w:val="32"/>
          <w:szCs w:val="32"/>
        </w:rPr>
        <w:t>镇将在市委、市政府的坚强领导下，认真贯彻落实党的十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九</w:t>
      </w:r>
      <w:r>
        <w:rPr>
          <w:rFonts w:ascii="仿宋_GB2312" w:hAnsi="Times New Roman" w:eastAsia="仿宋_GB2312"/>
          <w:kern w:val="0"/>
          <w:sz w:val="32"/>
          <w:szCs w:val="32"/>
        </w:rPr>
        <w:t>大精神，继续坚持“新型城镇化、工业化、农业现代化、信息化”四化同步，积极实施“商贸立镇、农业稳镇、文化兴镇、开放活镇、旅游强镇”五大战略，进一步统一思想，凝聚力量，乘势而上、主动作为，着力加强城镇建设、项目支撑、民生工程、基层党建和稳定工作，认真做好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以下</w:t>
      </w:r>
      <w:r>
        <w:rPr>
          <w:rFonts w:ascii="仿宋_GB2312" w:hAnsi="Times New Roman" w:eastAsia="仿宋_GB2312"/>
          <w:kern w:val="0"/>
          <w:sz w:val="32"/>
          <w:szCs w:val="32"/>
        </w:rPr>
        <w:t>事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项</w:t>
      </w:r>
      <w:r>
        <w:rPr>
          <w:rFonts w:ascii="仿宋_GB2312" w:hAnsi="Times New Roman" w:eastAsia="仿宋_GB2312"/>
          <w:kern w:val="0"/>
          <w:sz w:val="32"/>
          <w:szCs w:val="32"/>
        </w:rPr>
        <w:t>：构筑和谐稳定的社会环境、加大环保工作力度、认真落实各项惠农政策、加强基层干部管理、加强基层党建工作。</w:t>
      </w:r>
    </w:p>
    <w:p>
      <w:pPr>
        <w:spacing w:line="600" w:lineRule="exact"/>
        <w:ind w:firstLine="643" w:firstLineChars="200"/>
        <w:jc w:val="lef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职责分类绩效目标：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推进全镇管理工作科学发展；提高管理、保障、服务水平；协调推进改革进程，理顺管理工作体制。提高人员素质；推进镇办公环境改善。搞好服务保障，为广大干部职工提供安全、快捷、细致、周到的工作环境。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加强财务管理，确保资金安全，提高财政资金使用效益；确保涉农专项资金不截留、不滞留；坚决执行收支两条线；建立健全农村集体“三资”管理制度，促进农村集体资产保值增值。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对党和国家的计生政策进行宣传落实，做好优生优育服务；进一步解放和发展农村文化生产力，推动全乡文化事业和文化产业健康发展。进一步完善农村土地承包关系，保护农民利益，促进规模化经营。</w:t>
      </w:r>
    </w:p>
    <w:p>
      <w:pPr>
        <w:spacing w:line="600" w:lineRule="exact"/>
        <w:ind w:firstLine="643" w:firstLineChars="200"/>
        <w:jc w:val="lef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二、实现年度发展规划目标的保障措施</w:t>
      </w:r>
    </w:p>
    <w:p>
      <w:pPr>
        <w:spacing w:line="500" w:lineRule="exact"/>
        <w:ind w:firstLine="56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东旺镇政府强化以下保障措施，确保年度目标任务圆满完成。</w:t>
      </w:r>
    </w:p>
    <w:p>
      <w:pPr>
        <w:spacing w:line="500" w:lineRule="exact"/>
        <w:ind w:firstLine="56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一是重民生。强化班子带头干事谋发展，继续落实民主管理、村财乡管、村民代表会议制度等行之有效的措施，加大教育、卫生、扶贫、社保等工作力度，将各项惠民政策落到实处。</w:t>
      </w:r>
    </w:p>
    <w:p>
      <w:pPr>
        <w:spacing w:line="500" w:lineRule="exact"/>
        <w:ind w:firstLine="56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二是保稳定。全力构建平安和谐东旺，创造一个良好的发展环境和人居环境。</w:t>
      </w:r>
    </w:p>
    <w:p>
      <w:pPr>
        <w:spacing w:line="500" w:lineRule="exact"/>
        <w:ind w:firstLine="56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三是强组织。加强镇村两级组织的阵地建设和干部作风建设，为实现全年工作目标增强凝聚力、战斗力和竞争力。</w:t>
      </w:r>
    </w:p>
    <w:p>
      <w:pPr>
        <w:spacing w:line="500" w:lineRule="exact"/>
        <w:ind w:firstLine="56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四是抓落实。弘扬求真务实的作风，狠抓工作落实，要经常深入基层，发现问题及时解决，努力把工作落到实处。</w:t>
      </w:r>
    </w:p>
    <w:p>
      <w:pPr>
        <w:spacing w:line="500" w:lineRule="exact"/>
        <w:ind w:firstLine="560"/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五是树廉洁。狠抓党风廉政建设，推进依法行政，认真落实</w:t>
      </w:r>
      <w:r>
        <w:rPr>
          <w:rFonts w:ascii="仿宋_GB2312" w:hAnsi="Times New Roman" w:eastAsia="仿宋_GB2312"/>
          <w:kern w:val="0"/>
          <w:sz w:val="32"/>
          <w:szCs w:val="32"/>
        </w:rPr>
        <w:t>“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为民、务实、清廉</w:t>
      </w:r>
      <w:r>
        <w:rPr>
          <w:rFonts w:ascii="仿宋_GB2312" w:hAnsi="Times New Roman" w:eastAsia="仿宋_GB2312"/>
          <w:kern w:val="0"/>
          <w:sz w:val="32"/>
          <w:szCs w:val="32"/>
        </w:rPr>
        <w:t>”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的要求，继续抓好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八项规定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的贯彻执行，坚持把党风廉政建设放在首位。</w:t>
      </w:r>
    </w:p>
    <w:p>
      <w:pPr>
        <w:spacing w:line="500" w:lineRule="exact"/>
        <w:ind w:firstLine="560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强化责任目标，各项工作实行千分制考核，加大对镇、村两级干部的约束力，为我镇各项事业又好又快发展提供强有力的保障。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六、政府采购预算情况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本年度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东旺镇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部门预算共计安排政府采购项目为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类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个，涉及金额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万元，其中，货物类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个，涉及金额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万元，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；工程类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个，涉及金额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万元，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；服务类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个，涉及金额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万元。</w:t>
      </w:r>
    </w:p>
    <w:p>
      <w:pPr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部门政府采购预算</w:t>
      </w:r>
    </w:p>
    <w:tbl>
      <w:tblPr>
        <w:tblStyle w:val="4"/>
        <w:tblW w:w="1116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525"/>
        <w:gridCol w:w="420"/>
        <w:gridCol w:w="990"/>
        <w:gridCol w:w="855"/>
        <w:gridCol w:w="1245"/>
        <w:gridCol w:w="810"/>
        <w:gridCol w:w="1140"/>
        <w:gridCol w:w="1170"/>
        <w:gridCol w:w="1065"/>
        <w:gridCol w:w="855"/>
        <w:gridCol w:w="705"/>
        <w:gridCol w:w="88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345" w:type="dxa"/>
            <w:gridSpan w:val="7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小标宋_GBK" w:eastAsia="方正小标宋_GBK"/>
                <w:sz w:val="24"/>
              </w:rPr>
            </w:pPr>
          </w:p>
        </w:tc>
        <w:tc>
          <w:tcPr>
            <w:tcW w:w="5820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小标宋_GBK" w:eastAsia="方正小标宋_GBK"/>
                <w:sz w:val="24"/>
              </w:rPr>
            </w:pPr>
            <w:r>
              <w:rPr>
                <w:rFonts w:hint="eastAsia" w:ascii="方正小标宋_GBK" w:eastAsia="方正小标宋_GBK"/>
                <w:sz w:val="24"/>
              </w:rP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102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政府采购项目来源</w:t>
            </w:r>
          </w:p>
        </w:tc>
        <w:tc>
          <w:tcPr>
            <w:tcW w:w="420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采购物品名称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政府采购目录序号</w:t>
            </w:r>
          </w:p>
        </w:tc>
        <w:tc>
          <w:tcPr>
            <w:tcW w:w="855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计量</w:t>
            </w:r>
            <w:r>
              <w:rPr>
                <w:rFonts w:ascii="方正书宋_GBK" w:eastAsia="方正书宋_GBK"/>
                <w:b/>
              </w:rPr>
              <w:t xml:space="preserve">  单位</w:t>
            </w:r>
          </w:p>
        </w:tc>
        <w:tc>
          <w:tcPr>
            <w:tcW w:w="1245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数量</w:t>
            </w:r>
          </w:p>
        </w:tc>
        <w:tc>
          <w:tcPr>
            <w:tcW w:w="810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单价</w:t>
            </w:r>
          </w:p>
        </w:tc>
        <w:tc>
          <w:tcPr>
            <w:tcW w:w="5820" w:type="dxa"/>
            <w:gridSpan w:val="6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政府采购金额（当年部门预算安排资金）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0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项目名称</w:t>
            </w: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预算资金</w:t>
            </w:r>
          </w:p>
        </w:tc>
        <w:tc>
          <w:tcPr>
            <w:tcW w:w="420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1"/>
              <w:rPr>
                <w:rFonts w:eastAsia="方正仿宋_GBK"/>
                <w:sz w:val="28"/>
              </w:rPr>
            </w:pPr>
          </w:p>
        </w:tc>
        <w:tc>
          <w:tcPr>
            <w:tcW w:w="990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1"/>
              <w:rPr>
                <w:rFonts w:eastAsia="方正仿宋_GBK"/>
                <w:sz w:val="28"/>
              </w:rPr>
            </w:pPr>
          </w:p>
        </w:tc>
        <w:tc>
          <w:tcPr>
            <w:tcW w:w="855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1"/>
              <w:rPr>
                <w:rFonts w:eastAsia="方正仿宋_GBK"/>
                <w:sz w:val="28"/>
              </w:rPr>
            </w:pPr>
          </w:p>
        </w:tc>
        <w:tc>
          <w:tcPr>
            <w:tcW w:w="1245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1"/>
              <w:rPr>
                <w:rFonts w:eastAsia="方正仿宋_GBK"/>
                <w:sz w:val="28"/>
              </w:rPr>
            </w:pPr>
          </w:p>
        </w:tc>
        <w:tc>
          <w:tcPr>
            <w:tcW w:w="810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left"/>
              <w:outlineLvl w:val="1"/>
              <w:rPr>
                <w:rFonts w:eastAsia="方正仿宋_GBK"/>
                <w:sz w:val="28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合计</w:t>
            </w: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一般公共预算拨款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基金预算拨款</w:t>
            </w: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国有资本经营预算拨款</w:t>
            </w:r>
          </w:p>
        </w:tc>
        <w:tc>
          <w:tcPr>
            <w:tcW w:w="70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财政专户核拨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单位资金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70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70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70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70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70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52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70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</w:tr>
    </w:tbl>
    <w:p>
      <w:pPr>
        <w:widowControl/>
        <w:shd w:val="clear" w:color="auto" w:fill="FFFFFF"/>
        <w:spacing w:line="580" w:lineRule="exact"/>
        <w:jc w:val="left"/>
        <w:rPr>
          <w:rFonts w:hint="eastAsia"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备注：无此公开内容，空表列示。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七、国有资产信息情况</w:t>
      </w:r>
    </w:p>
    <w:p>
      <w:pPr>
        <w:spacing w:line="500" w:lineRule="exact"/>
        <w:ind w:firstLine="560"/>
        <w:rPr>
          <w:rFonts w:hint="eastAsia"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截至2018年底，我单位占有使用固定资产中，房屋构筑物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2538.81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平方米、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1418504.85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元，通用设备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9.00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个（台、辆等）、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160369.00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元，专用设备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0.00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个（台等）、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0.00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元，文物和陈列品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0.00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个（件等）、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0.00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元，图书档案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0.00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本（套等）、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0.00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元，家具、用具、装具及动植物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37</w:t>
      </w:r>
      <w:r>
        <w:rPr>
          <w:rFonts w:hint="eastAsia" w:ascii="仿宋_GB2312" w:hAnsi="Times New Roman" w:eastAsia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.00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个（套等）、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104624.00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元，分别占固定资产比重为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63%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、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7%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、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0%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、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0%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、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0%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、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0%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。</w:t>
      </w:r>
    </w:p>
    <w:p>
      <w:pPr>
        <w:spacing w:line="500" w:lineRule="exact"/>
        <w:ind w:firstLine="560"/>
        <w:rPr>
          <w:rFonts w:hint="eastAsia"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房屋构筑物中，办公用房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950.00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平方米，业务用房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1588.81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平方米，有证房屋占比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100%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。</w:t>
      </w:r>
    </w:p>
    <w:p>
      <w:pPr>
        <w:spacing w:line="500" w:lineRule="exact"/>
        <w:ind w:firstLine="560"/>
        <w:rPr>
          <w:rFonts w:hint="eastAsia"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截至2018年底，我单位占有使用车辆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1.00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辆、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0.00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元、单价50万（含）以上通用设备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0.00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台、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0.00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元、单价100万（含）以上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0.00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台、</w:t>
      </w:r>
      <w:r>
        <w:rPr>
          <w:rFonts w:hint="eastAsia" w:ascii="仿宋_GB2312" w:hAnsi="Times New Roman" w:eastAsia="仿宋_GB2312"/>
          <w:kern w:val="0"/>
          <w:sz w:val="32"/>
          <w:szCs w:val="32"/>
          <w:lang w:eastAsia="zh-CN"/>
        </w:rPr>
        <w:t>0.00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元。</w:t>
      </w:r>
    </w:p>
    <w:tbl>
      <w:tblPr>
        <w:tblStyle w:val="4"/>
        <w:tblpPr w:leftFromText="180" w:rightFromText="180" w:vertAnchor="text" w:horzAnchor="page" w:tblpX="1210" w:tblpY="1131"/>
        <w:tblOverlap w:val="never"/>
        <w:tblW w:w="1018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7"/>
        <w:gridCol w:w="2160"/>
        <w:gridCol w:w="44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sz w:val="28"/>
                <w:highlight w:val="green"/>
              </w:rPr>
            </w:pP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right"/>
              <w:rPr>
                <w:rFonts w:ascii="方正小标宋_GBK" w:eastAsia="方正小标宋_GBK"/>
                <w:sz w:val="24"/>
              </w:rPr>
            </w:pPr>
            <w:r>
              <w:rPr>
                <w:rFonts w:hint="eastAsia" w:ascii="方正小标宋_GBK" w:eastAsia="方正小标宋_GBK"/>
                <w:sz w:val="24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书宋_GBK" w:hAnsi="宋体" w:eastAsia="方正书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kern w:val="0"/>
                <w:szCs w:val="21"/>
              </w:rPr>
              <w:t>项   目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书宋_GBK" w:hAnsi="宋体" w:eastAsia="方正书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4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书宋_GBK" w:hAnsi="宋体" w:eastAsia="方正书宋_GBK" w:cs="宋体"/>
                <w:b/>
                <w:bCs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b/>
                <w:bCs/>
                <w:kern w:val="0"/>
                <w:szCs w:val="21"/>
              </w:rPr>
              <w:t>价值（金额单位：万元）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资产总额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  <w:r>
              <w:rPr>
                <w:rFonts w:hint="eastAsia" w:ascii="方正书宋_GBK" w:eastAsia="方正书宋_GBK"/>
                <w:kern w:val="0"/>
                <w:szCs w:val="21"/>
              </w:rPr>
              <w:t>——</w:t>
            </w:r>
          </w:p>
        </w:tc>
        <w:tc>
          <w:tcPr>
            <w:tcW w:w="4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书宋_GBK" w:eastAsia="方正书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1、房屋（平方米）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2538.81</w:t>
            </w:r>
          </w:p>
        </w:tc>
        <w:tc>
          <w:tcPr>
            <w:tcW w:w="4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书宋_GBK" w:eastAsia="方正书宋_GBK"/>
                <w:b/>
                <w:szCs w:val="21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1418504.85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 xml:space="preserve">   其中：办公用房（平方米）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950</w:t>
            </w:r>
          </w:p>
        </w:tc>
        <w:tc>
          <w:tcPr>
            <w:tcW w:w="4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170800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2、车辆（台、辆）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1</w:t>
            </w:r>
          </w:p>
        </w:tc>
        <w:tc>
          <w:tcPr>
            <w:tcW w:w="4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3、单价在20万元以上的设备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0</w:t>
            </w:r>
          </w:p>
        </w:tc>
        <w:tc>
          <w:tcPr>
            <w:tcW w:w="4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5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书宋_GBK" w:hAnsi="宋体" w:eastAsia="方正书宋_GBK" w:cs="宋体"/>
                <w:kern w:val="0"/>
                <w:szCs w:val="21"/>
              </w:rPr>
            </w:pPr>
            <w:r>
              <w:rPr>
                <w:rFonts w:hint="eastAsia" w:ascii="方正书宋_GBK" w:hAnsi="宋体" w:eastAsia="方正书宋_GBK" w:cs="宋体"/>
                <w:kern w:val="0"/>
                <w:szCs w:val="21"/>
              </w:rPr>
              <w:t>4、其他固定资产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383</w:t>
            </w:r>
          </w:p>
        </w:tc>
        <w:tc>
          <w:tcPr>
            <w:tcW w:w="4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方正书宋_GBK" w:eastAsia="方正书宋_GBK"/>
                <w:szCs w:val="21"/>
                <w:lang w:val="en-US" w:eastAsia="zh-CN"/>
              </w:rPr>
            </w:pPr>
            <w:r>
              <w:rPr>
                <w:rFonts w:hint="eastAsia" w:ascii="方正书宋_GBK" w:eastAsia="方正书宋_GBK"/>
                <w:szCs w:val="21"/>
                <w:lang w:val="en-US" w:eastAsia="zh-CN"/>
              </w:rPr>
              <w:t>264993</w:t>
            </w:r>
          </w:p>
        </w:tc>
      </w:tr>
    </w:tbl>
    <w:p>
      <w:pPr>
        <w:jc w:val="center"/>
        <w:rPr>
          <w:rFonts w:eastAsia="方正仿宋_GBK"/>
          <w:sz w:val="28"/>
        </w:rPr>
      </w:pPr>
      <w:r>
        <w:rPr>
          <w:rFonts w:hint="eastAsia" w:eastAsia="方正仿宋_GBK"/>
          <w:sz w:val="28"/>
        </w:rPr>
        <w:t>固定资产占用情况表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八、专业名词解释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“三公经费”指因公出国（境）费、公务用车购置及运行费和公务接待费。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九、其他需说明的事项</w:t>
      </w:r>
    </w:p>
    <w:p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我单位没有政府性基金预算和国有资本经营预算。</w:t>
      </w:r>
    </w:p>
    <w:p>
      <w:pPr>
        <w:widowControl/>
        <w:spacing w:line="580" w:lineRule="atLeast"/>
        <w:ind w:firstLine="640"/>
        <w:jc w:val="left"/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_GBK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方正楷体_GBK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9DFC1B"/>
    <w:multiLevelType w:val="singleLevel"/>
    <w:tmpl w:val="5A9DFC1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mY2M5ZTlmZDY0NjQzZDFiMTRmMDdmYTM1YjkzZTgifQ=="/>
  </w:docVars>
  <w:rsids>
    <w:rsidRoot w:val="006667C0"/>
    <w:rsid w:val="00086C7E"/>
    <w:rsid w:val="002A7B6A"/>
    <w:rsid w:val="00462846"/>
    <w:rsid w:val="005A014E"/>
    <w:rsid w:val="006667C0"/>
    <w:rsid w:val="006E27D7"/>
    <w:rsid w:val="00732991"/>
    <w:rsid w:val="00875CC7"/>
    <w:rsid w:val="00B02E85"/>
    <w:rsid w:val="00C37481"/>
    <w:rsid w:val="00C70B56"/>
    <w:rsid w:val="00CF605B"/>
    <w:rsid w:val="00D8145C"/>
    <w:rsid w:val="00E50F76"/>
    <w:rsid w:val="00EA60A4"/>
    <w:rsid w:val="00EE3631"/>
    <w:rsid w:val="0F121DC6"/>
    <w:rsid w:val="217E6E02"/>
    <w:rsid w:val="2DB92D26"/>
    <w:rsid w:val="47530F55"/>
    <w:rsid w:val="58463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276</Words>
  <Characters>1577</Characters>
  <Lines>13</Lines>
  <Paragraphs>3</Paragraphs>
  <TotalTime>13</TotalTime>
  <ScaleCrop>false</ScaleCrop>
  <LinksUpToDate>false</LinksUpToDate>
  <CharactersWithSpaces>1850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2018-02-27T07:57:00Z</dcterms:created>
  <dc:creator>Administrator</dc:creator>
  <cp:lastModifiedBy>Desdemo</cp:lastModifiedBy>
  <dcterms:modified xsi:type="dcterms:W3CDTF">2023-07-28T10:56:08Z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CE1E607791CF421CB02546CF9A997727</vt:lpwstr>
  </property>
</Properties>
</file>